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78A7C" w14:textId="77777777" w:rsidR="00814189" w:rsidRDefault="00814189" w:rsidP="00814189">
      <w:pPr>
        <w:pStyle w:val="Header"/>
        <w:rPr>
          <w:b/>
          <w:color w:val="FF0000"/>
        </w:rPr>
      </w:pPr>
      <w:r w:rsidRPr="00814189">
        <w:rPr>
          <w:b/>
          <w:color w:val="FF0000"/>
        </w:rPr>
        <w:t>This is a chapter from</w:t>
      </w:r>
      <w:r w:rsidRPr="00814189">
        <w:rPr>
          <w:b/>
          <w:color w:val="FF0000"/>
        </w:rPr>
        <w:t xml:space="preserve"> K. Lawson Younger</w:t>
      </w:r>
      <w:r w:rsidRPr="00814189">
        <w:rPr>
          <w:b/>
          <w:color w:val="FF0000"/>
        </w:rPr>
        <w:t xml:space="preserve">, Jr., </w:t>
      </w:r>
      <w:r w:rsidRPr="00814189">
        <w:rPr>
          <w:b/>
          <w:i/>
          <w:iCs/>
          <w:color w:val="FF0000"/>
        </w:rPr>
        <w:t>Ancient Conquest Accounts: A Study in Ancient Near Eastern and Biblical History Writing</w:t>
      </w:r>
      <w:r w:rsidRPr="00814189">
        <w:rPr>
          <w:b/>
          <w:color w:val="FF0000"/>
        </w:rPr>
        <w:t>. Vol. 98. Journal for the Study of the Old Testament Supplement Series. Sheffield: Sheffield Academic Press, 1990.</w:t>
      </w:r>
    </w:p>
    <w:p w14:paraId="589882B9" w14:textId="77777777" w:rsidR="00C30E30" w:rsidRDefault="00C30E30" w:rsidP="00814189">
      <w:pPr>
        <w:pStyle w:val="Header"/>
        <w:rPr>
          <w:b/>
          <w:color w:val="FF0000"/>
        </w:rPr>
      </w:pPr>
    </w:p>
    <w:p w14:paraId="6DDBDE94" w14:textId="508A4EC7" w:rsidR="00C30E30" w:rsidRPr="00814189" w:rsidRDefault="00C30E30" w:rsidP="00814189">
      <w:pPr>
        <w:pStyle w:val="Header"/>
        <w:rPr>
          <w:b/>
          <w:color w:val="FF0000"/>
        </w:rPr>
      </w:pPr>
      <w:r>
        <w:rPr>
          <w:b/>
          <w:color w:val="FF0000"/>
        </w:rPr>
        <w:t>It is academic, but very satisfying to work through. If you like this chapter, you should consider buying the book for his complete argument.</w:t>
      </w:r>
      <w:r w:rsidR="00DA3B93">
        <w:rPr>
          <w:b/>
          <w:color w:val="FF0000"/>
        </w:rPr>
        <w:t xml:space="preserve"> My intent in providing this excerpt is to inspire you to buy the book and support the author’s hard work.</w:t>
      </w:r>
    </w:p>
    <w:p w14:paraId="26F6B8C5" w14:textId="77777777" w:rsidR="00814189" w:rsidRDefault="00814189" w:rsidP="00814189">
      <w:pPr>
        <w:widowControl w:val="0"/>
        <w:autoSpaceDE w:val="0"/>
        <w:autoSpaceDN w:val="0"/>
        <w:adjustRightInd w:val="0"/>
        <w:jc w:val="center"/>
        <w:rPr>
          <w:rFonts w:cs="Times New Roman"/>
          <w:sz w:val="32"/>
          <w:szCs w:val="32"/>
          <w:lang w:eastAsia="ja-JP"/>
        </w:rPr>
      </w:pPr>
    </w:p>
    <w:p w14:paraId="621B31B6" w14:textId="77777777" w:rsidR="00814189" w:rsidRPr="00814189" w:rsidRDefault="00814189" w:rsidP="00814189">
      <w:pPr>
        <w:widowControl w:val="0"/>
        <w:autoSpaceDE w:val="0"/>
        <w:autoSpaceDN w:val="0"/>
        <w:adjustRightInd w:val="0"/>
        <w:jc w:val="center"/>
        <w:rPr>
          <w:rFonts w:cs="Times New Roman"/>
          <w:lang w:eastAsia="ja-JP"/>
        </w:rPr>
      </w:pPr>
      <w:r w:rsidRPr="00814189">
        <w:rPr>
          <w:rFonts w:cs="Times New Roman"/>
          <w:sz w:val="32"/>
          <w:szCs w:val="32"/>
          <w:lang w:eastAsia="ja-JP"/>
        </w:rPr>
        <w:t>Chapter 6</w:t>
      </w:r>
    </w:p>
    <w:p w14:paraId="484EEC48" w14:textId="77777777" w:rsidR="00814189" w:rsidRPr="00814189" w:rsidRDefault="00814189" w:rsidP="00814189">
      <w:pPr>
        <w:widowControl w:val="0"/>
        <w:autoSpaceDE w:val="0"/>
        <w:autoSpaceDN w:val="0"/>
        <w:adjustRightInd w:val="0"/>
        <w:spacing w:before="180"/>
        <w:jc w:val="center"/>
        <w:rPr>
          <w:rFonts w:cs="Times New Roman"/>
          <w:lang w:eastAsia="ja-JP"/>
        </w:rPr>
      </w:pPr>
      <w:r w:rsidRPr="00814189">
        <w:rPr>
          <w:rFonts w:cs="Times New Roman"/>
          <w:caps/>
          <w:sz w:val="32"/>
          <w:lang w:eastAsia="ja-JP"/>
        </w:rPr>
        <w:t>Implications And Entailments</w:t>
      </w:r>
    </w:p>
    <w:p w14:paraId="16CB65D8" w14:textId="77777777" w:rsidR="00814189" w:rsidRPr="00814189" w:rsidRDefault="00814189" w:rsidP="00814189">
      <w:pPr>
        <w:widowControl w:val="0"/>
        <w:autoSpaceDE w:val="0"/>
        <w:autoSpaceDN w:val="0"/>
        <w:adjustRightInd w:val="0"/>
        <w:spacing w:before="360"/>
        <w:rPr>
          <w:rFonts w:cs="Times New Roman"/>
          <w:lang w:eastAsia="ja-JP"/>
        </w:rPr>
      </w:pPr>
      <w:r w:rsidRPr="00814189">
        <w:rPr>
          <w:rFonts w:cs="Times New Roman"/>
          <w:lang w:eastAsia="ja-JP"/>
        </w:rPr>
        <w:t xml:space="preserve">It is now time to explore some of the implications of this study. In the foregoing chapters, our analyses have demonstrated that the conquest account in </w:t>
      </w:r>
      <w:r w:rsidRPr="00814189">
        <w:rPr>
          <w:rFonts w:cs="Times New Roman"/>
          <w:color w:val="0000FF"/>
          <w:u w:val="single"/>
          <w:lang w:eastAsia="ja-JP"/>
        </w:rPr>
        <w:t>Joshua 9–12</w:t>
      </w:r>
      <w:r w:rsidRPr="00814189">
        <w:rPr>
          <w:rFonts w:cs="Times New Roman"/>
          <w:lang w:eastAsia="ja-JP"/>
        </w:rPr>
        <w:t xml:space="preserve"> shares a similar transmission code with its ancient Near Eastern counterparts. In its literary and ideological aspects, the biblical text evinces the same general characteristics that one encounters in ancient Near Eastern works. Consequently, while it remains possible that this section of Joshua is a composite of many separate traditions, this may not be the best explanation. It is more likely that the section is a narrative unity exhibiting a typical ancient Near Eastern transmission code commonly employed in the history writing of conquest accounts. This, of course, does not exclude possible textual corruptions (some of which we point out in the Appendix) or glosses by the hand of (a) so-called Deuteronomistic editor(s). But it seriously questions the prevailing opinion that the section is a composite of many different independent </w:t>
      </w:r>
      <w:r w:rsidRPr="00814189">
        <w:rPr>
          <w:rFonts w:cs="Times New Roman"/>
          <w:i/>
          <w:lang w:eastAsia="ja-JP"/>
        </w:rPr>
        <w:t>traditions</w:t>
      </w:r>
      <w:r w:rsidRPr="00814189">
        <w:rPr>
          <w:rFonts w:cs="Times New Roman"/>
          <w:lang w:eastAsia="ja-JP"/>
        </w:rPr>
        <w:t>.</w:t>
      </w:r>
    </w:p>
    <w:p w14:paraId="140EC139"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Thus on the basis of the similarity between the conquest account in </w:t>
      </w:r>
      <w:r w:rsidRPr="00814189">
        <w:rPr>
          <w:rFonts w:cs="Times New Roman"/>
          <w:color w:val="0000FF"/>
          <w:u w:val="single"/>
          <w:lang w:eastAsia="ja-JP"/>
        </w:rPr>
        <w:t>Joshua 9–12</w:t>
      </w:r>
      <w:r w:rsidRPr="00814189">
        <w:rPr>
          <w:rFonts w:cs="Times New Roman"/>
          <w:lang w:eastAsia="ja-JP"/>
        </w:rPr>
        <w:t xml:space="preserve"> and other ancient Near Eastern conquest accounts, we would suggest that it is unnecessary to posit so many various traditions for the make-up of these chapters. It is time to re-evaluate some of the conclusions of past studies.</w:t>
      </w:r>
    </w:p>
    <w:p w14:paraId="15177290" w14:textId="77777777" w:rsidR="00814189" w:rsidRPr="00814189" w:rsidRDefault="00814189" w:rsidP="00814189">
      <w:pPr>
        <w:widowControl w:val="0"/>
        <w:autoSpaceDE w:val="0"/>
        <w:autoSpaceDN w:val="0"/>
        <w:adjustRightInd w:val="0"/>
        <w:spacing w:before="360"/>
        <w:jc w:val="center"/>
        <w:rPr>
          <w:rFonts w:cs="Times New Roman"/>
          <w:lang w:eastAsia="ja-JP"/>
        </w:rPr>
      </w:pPr>
      <w:r w:rsidRPr="00814189">
        <w:rPr>
          <w:rFonts w:cs="Times New Roman"/>
          <w:caps/>
          <w:sz w:val="28"/>
          <w:lang w:eastAsia="ja-JP"/>
        </w:rPr>
        <w:t>THE NOTION OF A ‘COMPLETE CONQUEST’</w:t>
      </w:r>
    </w:p>
    <w:p w14:paraId="3F92C366"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color w:val="0000FF"/>
          <w:u w:val="single"/>
          <w:lang w:eastAsia="ja-JP"/>
        </w:rPr>
        <w:t>Joshua 10:40–42</w:t>
      </w:r>
      <w:r w:rsidRPr="00814189">
        <w:rPr>
          <w:rFonts w:cs="Times New Roman"/>
          <w:lang w:eastAsia="ja-JP"/>
        </w:rPr>
        <w:t xml:space="preserve"> states:</w:t>
      </w:r>
    </w:p>
    <w:p w14:paraId="7C5EE5A9" w14:textId="77777777" w:rsidR="00814189" w:rsidRPr="00814189" w:rsidRDefault="00814189" w:rsidP="00814189">
      <w:pPr>
        <w:widowControl w:val="0"/>
        <w:autoSpaceDE w:val="0"/>
        <w:autoSpaceDN w:val="0"/>
        <w:adjustRightInd w:val="0"/>
        <w:spacing w:before="180"/>
        <w:jc w:val="right"/>
        <w:rPr>
          <w:rFonts w:cs="Times New Roman"/>
          <w:lang w:eastAsia="ja-JP"/>
        </w:rPr>
      </w:pPr>
      <w:r w:rsidRPr="00814189">
        <w:rPr>
          <w:rFonts w:ascii="Myriad Hebrew Bold Italic" w:hAnsi="Myriad Hebrew Bold Italic" w:cs="Myriad Hebrew Bold Italic"/>
          <w:sz w:val="22"/>
          <w:szCs w:val="29"/>
          <w:rtl/>
          <w:lang w:eastAsia="ja-JP" w:bidi="he-IL"/>
        </w:rPr>
        <w:t>ויבה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יהושע</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את</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בל</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האדץ</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ההד</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והנגב</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והשפלה</w:t>
      </w:r>
      <w:r w:rsidRPr="00814189">
        <w:rPr>
          <w:rFonts w:cs="Times New Roman"/>
          <w:sz w:val="22"/>
          <w:vertAlign w:val="superscript"/>
          <w:lang w:eastAsia="ja-JP"/>
        </w:rPr>
        <w:t>40</w:t>
      </w:r>
    </w:p>
    <w:p w14:paraId="5F9D7AC8"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והאשדדת</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ואת</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כל</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מלביהם</w:t>
      </w:r>
    </w:p>
    <w:p w14:paraId="377C2432"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לא</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השאיד</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שדיד</w:t>
      </w:r>
    </w:p>
    <w:p w14:paraId="30856E54"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ואח</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בל</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הבשמה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החדים</w:t>
      </w:r>
    </w:p>
    <w:p w14:paraId="09E65008"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באשד</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צוה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יהוה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אלהי</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ישדאל</w:t>
      </w:r>
    </w:p>
    <w:p w14:paraId="6398E945"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ויכם</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יהושע</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מקדש</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בדנע</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ועד</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עזה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ואח</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בל</w:t>
      </w:r>
      <w:r w:rsidRPr="00814189">
        <w:rPr>
          <w:rFonts w:cs="Times New Roman"/>
          <w:sz w:val="22"/>
          <w:vertAlign w:val="superscript"/>
          <w:lang w:eastAsia="ja-JP"/>
        </w:rPr>
        <w:t>41</w:t>
      </w:r>
    </w:p>
    <w:p w14:paraId="7C39D5E7"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אדץ</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גשן</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ועד</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גבעון</w:t>
      </w:r>
    </w:p>
    <w:p w14:paraId="51CFF6F4"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ו</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את</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בל</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המלבים</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האלה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אח</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אדצם</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לבד</w:t>
      </w:r>
      <w:r w:rsidRPr="00814189">
        <w:rPr>
          <w:rFonts w:cs="Times New Roman"/>
          <w:sz w:val="22"/>
          <w:vertAlign w:val="superscript"/>
          <w:lang w:eastAsia="ja-JP"/>
        </w:rPr>
        <w:t>42</w:t>
      </w:r>
    </w:p>
    <w:p w14:paraId="3241C82E"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יהושע</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פעם</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אחת</w:t>
      </w:r>
    </w:p>
    <w:p w14:paraId="20A968E0" w14:textId="77777777" w:rsidR="00814189" w:rsidRPr="00814189" w:rsidRDefault="00814189" w:rsidP="00814189">
      <w:pPr>
        <w:widowControl w:val="0"/>
        <w:autoSpaceDE w:val="0"/>
        <w:autoSpaceDN w:val="0"/>
        <w:adjustRightInd w:val="0"/>
        <w:jc w:val="right"/>
        <w:rPr>
          <w:rFonts w:cs="Times New Roman"/>
          <w:lang w:eastAsia="ja-JP"/>
        </w:rPr>
      </w:pPr>
      <w:r w:rsidRPr="00814189">
        <w:rPr>
          <w:rFonts w:ascii="Myriad Hebrew Bold Italic" w:hAnsi="Myriad Hebrew Bold Italic" w:cs="Myriad Hebrew Bold Italic"/>
          <w:sz w:val="22"/>
          <w:szCs w:val="29"/>
          <w:rtl/>
          <w:lang w:eastAsia="ja-JP" w:bidi="he-IL"/>
        </w:rPr>
        <w:t>בי</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יהוה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אלהי</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ישדאל</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בלחם</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לישראל</w:t>
      </w:r>
    </w:p>
    <w:p w14:paraId="1E291CE3" w14:textId="77777777" w:rsidR="00814189" w:rsidRPr="00814189" w:rsidRDefault="00814189" w:rsidP="00814189">
      <w:pPr>
        <w:widowControl w:val="0"/>
        <w:tabs>
          <w:tab w:val="left" w:pos="360"/>
        </w:tabs>
        <w:autoSpaceDE w:val="0"/>
        <w:autoSpaceDN w:val="0"/>
        <w:adjustRightInd w:val="0"/>
        <w:spacing w:before="180"/>
        <w:ind w:left="360" w:hanging="360"/>
        <w:rPr>
          <w:rFonts w:cs="Times New Roman"/>
          <w:lang w:eastAsia="ja-JP"/>
        </w:rPr>
      </w:pPr>
      <w:r w:rsidRPr="00814189">
        <w:rPr>
          <w:rFonts w:cs="Times New Roman"/>
          <w:color w:val="0000FF"/>
          <w:sz w:val="22"/>
          <w:u w:val="single"/>
          <w:lang w:eastAsia="ja-JP"/>
        </w:rPr>
        <w:t>40</w:t>
      </w:r>
      <w:r w:rsidRPr="00814189">
        <w:rPr>
          <w:rFonts w:cs="Times New Roman"/>
          <w:sz w:val="22"/>
          <w:lang w:eastAsia="ja-JP"/>
        </w:rPr>
        <w:t>.</w:t>
      </w:r>
      <w:r w:rsidRPr="00814189">
        <w:rPr>
          <w:rFonts w:cs="Times New Roman"/>
          <w:sz w:val="22"/>
          <w:lang w:eastAsia="ja-JP"/>
        </w:rPr>
        <w:tab/>
        <w:t>Thus Joshua took the whole region, (including) the hill country, the Negev, the Shephelah, and the mountain slopes, together with their kings.</w:t>
      </w:r>
    </w:p>
    <w:p w14:paraId="2A45FD31" w14:textId="77777777" w:rsidR="00814189" w:rsidRPr="00814189" w:rsidRDefault="00814189" w:rsidP="00814189">
      <w:pPr>
        <w:widowControl w:val="0"/>
        <w:autoSpaceDE w:val="0"/>
        <w:autoSpaceDN w:val="0"/>
        <w:adjustRightInd w:val="0"/>
        <w:ind w:left="720" w:hanging="360"/>
        <w:rPr>
          <w:rFonts w:cs="Times New Roman"/>
          <w:lang w:eastAsia="ja-JP"/>
        </w:rPr>
      </w:pPr>
      <w:r w:rsidRPr="00814189">
        <w:rPr>
          <w:rFonts w:cs="Times New Roman"/>
          <w:lang w:eastAsia="ja-JP"/>
        </w:rPr>
        <w:t>He left no survivors.</w:t>
      </w:r>
    </w:p>
    <w:p w14:paraId="5A0F1AA3" w14:textId="77777777" w:rsidR="00814189" w:rsidRPr="00814189" w:rsidRDefault="00814189" w:rsidP="00814189">
      <w:pPr>
        <w:widowControl w:val="0"/>
        <w:autoSpaceDE w:val="0"/>
        <w:autoSpaceDN w:val="0"/>
        <w:adjustRightInd w:val="0"/>
        <w:ind w:left="720" w:hanging="360"/>
        <w:rPr>
          <w:rFonts w:cs="Times New Roman"/>
          <w:lang w:eastAsia="ja-JP"/>
        </w:rPr>
      </w:pPr>
      <w:r w:rsidRPr="00814189">
        <w:rPr>
          <w:rFonts w:cs="Times New Roman"/>
          <w:lang w:eastAsia="ja-JP"/>
        </w:rPr>
        <w:lastRenderedPageBreak/>
        <w:t>He totally destroyed all who breathed,</w:t>
      </w:r>
    </w:p>
    <w:p w14:paraId="107DD741" w14:textId="77777777" w:rsidR="00814189" w:rsidRPr="00814189" w:rsidRDefault="00814189" w:rsidP="00814189">
      <w:pPr>
        <w:widowControl w:val="0"/>
        <w:autoSpaceDE w:val="0"/>
        <w:autoSpaceDN w:val="0"/>
        <w:adjustRightInd w:val="0"/>
        <w:ind w:left="720" w:hanging="360"/>
        <w:rPr>
          <w:rFonts w:cs="Times New Roman"/>
          <w:lang w:eastAsia="ja-JP"/>
        </w:rPr>
      </w:pPr>
      <w:r w:rsidRPr="00814189">
        <w:rPr>
          <w:rFonts w:cs="Times New Roman"/>
          <w:lang w:eastAsia="ja-JP"/>
        </w:rPr>
        <w:t>just as YHWH the God of Israel had commanded.</w:t>
      </w:r>
    </w:p>
    <w:p w14:paraId="46B78BA4" w14:textId="77777777" w:rsidR="00814189" w:rsidRPr="00814189" w:rsidRDefault="00814189" w:rsidP="00814189">
      <w:pPr>
        <w:widowControl w:val="0"/>
        <w:tabs>
          <w:tab w:val="left" w:pos="360"/>
        </w:tabs>
        <w:autoSpaceDE w:val="0"/>
        <w:autoSpaceDN w:val="0"/>
        <w:adjustRightInd w:val="0"/>
        <w:ind w:left="360" w:hanging="360"/>
        <w:rPr>
          <w:rFonts w:cs="Times New Roman"/>
          <w:lang w:eastAsia="ja-JP"/>
        </w:rPr>
      </w:pPr>
      <w:r w:rsidRPr="00814189">
        <w:rPr>
          <w:rFonts w:cs="Times New Roman"/>
          <w:color w:val="0000FF"/>
          <w:sz w:val="22"/>
          <w:u w:val="single"/>
          <w:lang w:eastAsia="ja-JP"/>
        </w:rPr>
        <w:t>41</w:t>
      </w:r>
      <w:r w:rsidRPr="00814189">
        <w:rPr>
          <w:rFonts w:cs="Times New Roman"/>
          <w:sz w:val="22"/>
          <w:lang w:eastAsia="ja-JP"/>
        </w:rPr>
        <w:t>.</w:t>
      </w:r>
      <w:r w:rsidRPr="00814189">
        <w:rPr>
          <w:rFonts w:cs="Times New Roman"/>
          <w:sz w:val="22"/>
          <w:lang w:eastAsia="ja-JP"/>
        </w:rPr>
        <w:tab/>
        <w:t>Joshua smote them from Kadesh-Barnea, to Gaza, and from the whole land of Goshen to Gibeon.</w:t>
      </w:r>
    </w:p>
    <w:p w14:paraId="0A74E0CF" w14:textId="77777777" w:rsidR="00814189" w:rsidRPr="00814189" w:rsidRDefault="00814189" w:rsidP="00814189">
      <w:pPr>
        <w:widowControl w:val="0"/>
        <w:tabs>
          <w:tab w:val="left" w:pos="360"/>
        </w:tabs>
        <w:autoSpaceDE w:val="0"/>
        <w:autoSpaceDN w:val="0"/>
        <w:adjustRightInd w:val="0"/>
        <w:ind w:left="360" w:hanging="360"/>
        <w:rPr>
          <w:rFonts w:cs="Times New Roman"/>
          <w:lang w:eastAsia="ja-JP"/>
        </w:rPr>
      </w:pPr>
      <w:r w:rsidRPr="00814189">
        <w:rPr>
          <w:rFonts w:cs="Times New Roman"/>
          <w:color w:val="0000FF"/>
          <w:sz w:val="22"/>
          <w:u w:val="single"/>
          <w:lang w:eastAsia="ja-JP"/>
        </w:rPr>
        <w:t>42</w:t>
      </w:r>
      <w:r w:rsidRPr="00814189">
        <w:rPr>
          <w:rFonts w:cs="Times New Roman"/>
          <w:sz w:val="22"/>
          <w:lang w:eastAsia="ja-JP"/>
        </w:rPr>
        <w:t>.</w:t>
      </w:r>
      <w:r w:rsidRPr="00814189">
        <w:rPr>
          <w:rFonts w:cs="Times New Roman"/>
          <w:sz w:val="22"/>
          <w:lang w:eastAsia="ja-JP"/>
        </w:rPr>
        <w:tab/>
        <w:t>All these kings and their lands Joshua conquered in a single campaign because YHWH the God of Israel fought for Israel.</w:t>
      </w:r>
    </w:p>
    <w:p w14:paraId="40E10A97"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If one were to interpret this paragraph literally, then there would be no question that Joshua and the Israelites conquered every bit of southern Palestine. This would be evident from the very first words of the text: ‘Thus Joshua took the whole region (</w:t>
      </w:r>
      <w:r w:rsidRPr="00814189">
        <w:rPr>
          <w:rFonts w:ascii="Myriad Hebrew Bold Italic" w:hAnsi="Myriad Hebrew Bold Italic" w:cs="Myriad Hebrew Bold Italic"/>
          <w:szCs w:val="32"/>
          <w:rtl/>
          <w:lang w:eastAsia="ja-JP" w:bidi="he-IL"/>
        </w:rPr>
        <w:t>בל</w:t>
      </w:r>
      <w:r w:rsidRPr="00814189">
        <w:rPr>
          <w:rFonts w:cs="SBL Hebrew"/>
          <w:szCs w:val="32"/>
          <w:rtl/>
          <w:lang w:eastAsia="ja-JP" w:bidi="he-IL"/>
        </w:rPr>
        <w:t xml:space="preserve"> </w:t>
      </w:r>
      <w:r w:rsidRPr="00814189">
        <w:rPr>
          <w:rFonts w:ascii="Myriad Hebrew Bold Italic" w:hAnsi="Myriad Hebrew Bold Italic" w:cs="Myriad Hebrew Bold Italic"/>
          <w:szCs w:val="32"/>
          <w:rtl/>
          <w:lang w:eastAsia="ja-JP" w:bidi="he-IL"/>
        </w:rPr>
        <w:t>האדץ</w:t>
      </w:r>
      <w:r w:rsidRPr="00814189">
        <w:rPr>
          <w:rFonts w:cs="Times New Roman"/>
          <w:lang w:eastAsia="ja-JP"/>
        </w:rPr>
        <w:t>)’. Moreover, it states that Joshua conquered ‘all these kings and their lands: (</w:t>
      </w:r>
      <w:r w:rsidRPr="00814189">
        <w:rPr>
          <w:rFonts w:ascii="Myriad Hebrew Bold Italic" w:hAnsi="Myriad Hebrew Bold Italic" w:cs="Myriad Hebrew Bold Italic"/>
          <w:szCs w:val="32"/>
          <w:rtl/>
          <w:lang w:eastAsia="ja-JP" w:bidi="he-IL"/>
        </w:rPr>
        <w:t>בל</w:t>
      </w:r>
      <w:r w:rsidRPr="00814189">
        <w:rPr>
          <w:rFonts w:cs="SBL Hebrew"/>
          <w:szCs w:val="32"/>
          <w:rtl/>
          <w:lang w:eastAsia="ja-JP" w:bidi="he-IL"/>
        </w:rPr>
        <w:t xml:space="preserve"> </w:t>
      </w:r>
      <w:r w:rsidRPr="00814189">
        <w:rPr>
          <w:rFonts w:ascii="Myriad Hebrew Bold Italic" w:hAnsi="Myriad Hebrew Bold Italic" w:cs="Myriad Hebrew Bold Italic"/>
          <w:szCs w:val="32"/>
          <w:rtl/>
          <w:lang w:eastAsia="ja-JP" w:bidi="he-IL"/>
        </w:rPr>
        <w:t>המלבים</w:t>
      </w:r>
      <w:r w:rsidRPr="00814189">
        <w:rPr>
          <w:rFonts w:cs="SBL Hebrew"/>
          <w:szCs w:val="32"/>
          <w:rtl/>
          <w:lang w:eastAsia="ja-JP" w:bidi="he-IL"/>
        </w:rPr>
        <w:t xml:space="preserve"> </w:t>
      </w:r>
      <w:r w:rsidRPr="00814189">
        <w:rPr>
          <w:rFonts w:ascii="Myriad Hebrew Bold Italic" w:hAnsi="Myriad Hebrew Bold Italic" w:cs="Myriad Hebrew Bold Italic"/>
          <w:szCs w:val="32"/>
          <w:rtl/>
          <w:lang w:eastAsia="ja-JP" w:bidi="he-IL"/>
        </w:rPr>
        <w:t>האלה</w:t>
      </w:r>
      <w:r w:rsidRPr="00814189">
        <w:rPr>
          <w:rFonts w:cs="SBL Hebrew"/>
          <w:szCs w:val="32"/>
          <w:rtl/>
          <w:lang w:eastAsia="ja-JP" w:bidi="he-IL"/>
        </w:rPr>
        <w:t xml:space="preserve"> </w:t>
      </w:r>
      <w:r w:rsidRPr="00814189">
        <w:rPr>
          <w:rFonts w:ascii="Myriad Hebrew Bold Italic" w:hAnsi="Myriad Hebrew Bold Italic" w:cs="Myriad Hebrew Bold Italic"/>
          <w:szCs w:val="32"/>
          <w:rtl/>
          <w:lang w:eastAsia="ja-JP" w:bidi="he-IL"/>
        </w:rPr>
        <w:t>ואח</w:t>
      </w:r>
      <w:r w:rsidRPr="00814189">
        <w:rPr>
          <w:rFonts w:cs="SBL Hebrew"/>
          <w:szCs w:val="32"/>
          <w:rtl/>
          <w:lang w:eastAsia="ja-JP" w:bidi="he-IL"/>
        </w:rPr>
        <w:t xml:space="preserve"> </w:t>
      </w:r>
      <w:r w:rsidRPr="00814189">
        <w:rPr>
          <w:rFonts w:ascii="Myriad Hebrew Bold Italic" w:hAnsi="Myriad Hebrew Bold Italic" w:cs="Myriad Hebrew Bold Italic"/>
          <w:szCs w:val="32"/>
          <w:rtl/>
          <w:lang w:eastAsia="ja-JP" w:bidi="he-IL"/>
        </w:rPr>
        <w:t>אדצם</w:t>
      </w:r>
      <w:r w:rsidRPr="00814189">
        <w:rPr>
          <w:rFonts w:cs="Times New Roman"/>
          <w:lang w:eastAsia="ja-JP"/>
        </w:rPr>
        <w:t>)’.</w:t>
      </w:r>
    </w:p>
    <w:p w14:paraId="14600ED6"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This is the way many Old Testament scholars read the account in Joshua. It portrays a </w:t>
      </w:r>
      <w:r w:rsidRPr="00814189">
        <w:rPr>
          <w:rFonts w:cs="Times New Roman"/>
          <w:i/>
          <w:lang w:eastAsia="ja-JP"/>
        </w:rPr>
        <w:t>complete</w:t>
      </w:r>
      <w:r w:rsidRPr="00814189">
        <w:rPr>
          <w:rFonts w:cs="Times New Roman"/>
          <w:lang w:eastAsia="ja-JP"/>
        </w:rPr>
        <w:t xml:space="preserve"> conquest of the land of Palestine as compared to the </w:t>
      </w:r>
      <w:r w:rsidRPr="00814189">
        <w:rPr>
          <w:rFonts w:cs="Times New Roman"/>
          <w:i/>
          <w:lang w:eastAsia="ja-JP"/>
        </w:rPr>
        <w:t>partial</w:t>
      </w:r>
      <w:r w:rsidRPr="00814189">
        <w:rPr>
          <w:rFonts w:cs="Times New Roman"/>
          <w:lang w:eastAsia="ja-JP"/>
        </w:rPr>
        <w:t xml:space="preserve"> conquest portrayed in </w:t>
      </w:r>
      <w:r w:rsidRPr="00814189">
        <w:rPr>
          <w:rFonts w:cs="Times New Roman"/>
          <w:color w:val="0000FF"/>
          <w:u w:val="single"/>
          <w:lang w:eastAsia="ja-JP"/>
        </w:rPr>
        <w:t>Judges 1</w:t>
      </w:r>
      <w:r w:rsidRPr="00814189">
        <w:rPr>
          <w:rFonts w:cs="Times New Roman"/>
          <w:lang w:eastAsia="ja-JP"/>
        </w:rPr>
        <w:t>. B. Childs lays out the problem:</w:t>
      </w:r>
    </w:p>
    <w:p w14:paraId="4425E243"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First, critical scholars have long since pointed out the tension—it is usually called a contradiction—in the portrayal of the conquest of the land. On the one hand, the conquest is pictured in the main source of </w:t>
      </w:r>
      <w:r w:rsidRPr="00814189">
        <w:rPr>
          <w:rFonts w:cs="Times New Roman"/>
          <w:color w:val="0000FF"/>
          <w:sz w:val="22"/>
          <w:u w:val="single"/>
          <w:lang w:eastAsia="ja-JP"/>
        </w:rPr>
        <w:t>Josh. 1–12</w:t>
      </w:r>
      <w:r w:rsidRPr="00814189">
        <w:rPr>
          <w:rFonts w:cs="Times New Roman"/>
          <w:sz w:val="22"/>
          <w:lang w:eastAsia="ja-JP"/>
        </w:rPr>
        <w:t xml:space="preserve"> as a unified assault against the inhabitants of the land under the leadership of Joshua which succeeded in conquering the entire land (</w:t>
      </w:r>
      <w:r w:rsidRPr="00814189">
        <w:rPr>
          <w:rFonts w:cs="Times New Roman"/>
          <w:color w:val="0000FF"/>
          <w:sz w:val="22"/>
          <w:u w:val="single"/>
          <w:lang w:eastAsia="ja-JP"/>
        </w:rPr>
        <w:t>11:23</w:t>
      </w:r>
      <w:r w:rsidRPr="00814189">
        <w:rPr>
          <w:rFonts w:cs="Times New Roman"/>
          <w:sz w:val="22"/>
          <w:lang w:eastAsia="ja-JP"/>
        </w:rPr>
        <w:t xml:space="preserve">; </w:t>
      </w:r>
      <w:r w:rsidRPr="00814189">
        <w:rPr>
          <w:rFonts w:cs="Times New Roman"/>
          <w:color w:val="0000FF"/>
          <w:sz w:val="22"/>
          <w:u w:val="single"/>
          <w:lang w:eastAsia="ja-JP"/>
        </w:rPr>
        <w:t>18:1</w:t>
      </w:r>
      <w:r w:rsidRPr="00814189">
        <w:rPr>
          <w:rFonts w:cs="Times New Roman"/>
          <w:sz w:val="22"/>
          <w:lang w:eastAsia="ja-JP"/>
        </w:rPr>
        <w:t xml:space="preserve">; </w:t>
      </w:r>
      <w:r w:rsidRPr="00814189">
        <w:rPr>
          <w:rFonts w:cs="Times New Roman"/>
          <w:color w:val="0000FF"/>
          <w:sz w:val="22"/>
          <w:u w:val="single"/>
          <w:lang w:eastAsia="ja-JP"/>
        </w:rPr>
        <w:t>22:43</w:t>
      </w:r>
      <w:r w:rsidRPr="00814189">
        <w:rPr>
          <w:rFonts w:cs="Times New Roman"/>
          <w:sz w:val="22"/>
          <w:lang w:eastAsia="ja-JP"/>
        </w:rPr>
        <w:t xml:space="preserve">). On the other hand, there is a conflicting view of the conquest represented by </w:t>
      </w:r>
      <w:r w:rsidRPr="00814189">
        <w:rPr>
          <w:rFonts w:cs="Times New Roman"/>
          <w:color w:val="0000FF"/>
          <w:sz w:val="22"/>
          <w:u w:val="single"/>
          <w:lang w:eastAsia="ja-JP"/>
        </w:rPr>
        <w:t>Judges 1</w:t>
      </w:r>
      <w:r w:rsidRPr="00814189">
        <w:rPr>
          <w:rFonts w:cs="Times New Roman"/>
          <w:sz w:val="22"/>
          <w:lang w:eastAsia="ja-JP"/>
        </w:rPr>
        <w:t xml:space="preserve"> and its parallels in Joshua (</w:t>
      </w:r>
      <w:r w:rsidRPr="00814189">
        <w:rPr>
          <w:rFonts w:cs="Times New Roman"/>
          <w:color w:val="0000FF"/>
          <w:sz w:val="22"/>
          <w:u w:val="single"/>
          <w:lang w:eastAsia="ja-JP"/>
        </w:rPr>
        <w:t>15:13–19</w:t>
      </w:r>
      <w:r w:rsidRPr="00814189">
        <w:rPr>
          <w:rFonts w:cs="Times New Roman"/>
          <w:sz w:val="22"/>
          <w:lang w:eastAsia="ja-JP"/>
        </w:rPr>
        <w:t xml:space="preserve">, </w:t>
      </w:r>
      <w:r w:rsidRPr="00814189">
        <w:rPr>
          <w:rFonts w:cs="Times New Roman"/>
          <w:color w:val="0000FF"/>
          <w:sz w:val="22"/>
          <w:u w:val="single"/>
          <w:lang w:eastAsia="ja-JP"/>
        </w:rPr>
        <w:t>63</w:t>
      </w:r>
      <w:r w:rsidRPr="00814189">
        <w:rPr>
          <w:rFonts w:cs="Times New Roman"/>
          <w:sz w:val="22"/>
          <w:lang w:eastAsia="ja-JP"/>
        </w:rPr>
        <w:t xml:space="preserve">; </w:t>
      </w:r>
      <w:r w:rsidRPr="00814189">
        <w:rPr>
          <w:rFonts w:cs="Times New Roman"/>
          <w:color w:val="0000FF"/>
          <w:sz w:val="22"/>
          <w:u w:val="single"/>
          <w:lang w:eastAsia="ja-JP"/>
        </w:rPr>
        <w:t>16:10</w:t>
      </w:r>
      <w:r w:rsidRPr="00814189">
        <w:rPr>
          <w:rFonts w:cs="Times New Roman"/>
          <w:sz w:val="22"/>
          <w:lang w:eastAsia="ja-JP"/>
        </w:rPr>
        <w:t xml:space="preserve">; </w:t>
      </w:r>
      <w:r w:rsidRPr="00814189">
        <w:rPr>
          <w:rFonts w:cs="Times New Roman"/>
          <w:color w:val="0000FF"/>
          <w:sz w:val="22"/>
          <w:u w:val="single"/>
          <w:lang w:eastAsia="ja-JP"/>
        </w:rPr>
        <w:t>17:11–13</w:t>
      </w:r>
      <w:r w:rsidRPr="00814189">
        <w:rPr>
          <w:rFonts w:cs="Times New Roman"/>
          <w:sz w:val="22"/>
          <w:lang w:eastAsia="ja-JP"/>
        </w:rPr>
        <w:t xml:space="preserve">; </w:t>
      </w:r>
      <w:r w:rsidRPr="00814189">
        <w:rPr>
          <w:rFonts w:cs="Times New Roman"/>
          <w:color w:val="0000FF"/>
          <w:sz w:val="22"/>
          <w:u w:val="single"/>
          <w:lang w:eastAsia="ja-JP"/>
        </w:rPr>
        <w:t>19:47</w:t>
      </w:r>
      <w:r w:rsidRPr="00814189">
        <w:rPr>
          <w:rFonts w:cs="Times New Roman"/>
          <w:sz w:val="22"/>
          <w:lang w:eastAsia="ja-JP"/>
        </w:rPr>
        <w:t>) which appears to picture the conquest as undertaken by individual tribes, extending over a long period beyond the age of Joshua, and unsuccessful in driving out the Canaanites from much of the land. Any number of variations on these two options are possible, such as the theory proposed by G. Mendenhall of an internal social-political upheaval … Usually the description of the conquest which portrays a complete conquest of the whole land under Joshua is assigned to the Deuteronomic redaction of the book.</w:t>
      </w:r>
    </w:p>
    <w:p w14:paraId="7C65F8DB"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The usual solution which Old Testament scholars have adopted is to posit two different sources or traditions for the different portrayals. The account in </w:t>
      </w:r>
      <w:r w:rsidRPr="00814189">
        <w:rPr>
          <w:rFonts w:cs="Times New Roman"/>
          <w:color w:val="0000FF"/>
          <w:u w:val="single"/>
          <w:lang w:eastAsia="ja-JP"/>
        </w:rPr>
        <w:t>Judges 1</w:t>
      </w:r>
      <w:r w:rsidRPr="00814189">
        <w:rPr>
          <w:rFonts w:cs="Times New Roman"/>
          <w:lang w:eastAsia="ja-JP"/>
        </w:rPr>
        <w:t xml:space="preserve"> is the older and more reliable account. Hence (to quote a traditional commentator) G. Moore states:</w:t>
      </w:r>
    </w:p>
    <w:p w14:paraId="6F08E590"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Which of these two conflicting representations of the Israelite invasion is the truer, cannot be for a moment in question. All that we know of the history of Israel in Canaan in the succeeding centuries confirms the representation of Jud. that the subjugation of the land by the tribes was gradual and partial; that not only were the Canaanites not extirpated, but that many cities and whole regions remained in their possession; that the conquest of these was first achieved by the kings David and Solomon. On the other hand, the whole political and religious history of these centuries would be unintelligible if we were to imagine it as beginning with such a conquest of Canaan as is narrated in the Book of Joshua.</w:t>
      </w:r>
    </w:p>
    <w:p w14:paraId="435BB6D4"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Childs has a different solution:</w:t>
      </w:r>
    </w:p>
    <w:p w14:paraId="3081C40D"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How then is one to explain the peculiar features within </w:t>
      </w:r>
      <w:r w:rsidRPr="00814189">
        <w:rPr>
          <w:rFonts w:cs="Times New Roman"/>
          <w:color w:val="0000FF"/>
          <w:sz w:val="22"/>
          <w:u w:val="single"/>
          <w:lang w:eastAsia="ja-JP"/>
        </w:rPr>
        <w:t>Josh. 1–12</w:t>
      </w:r>
      <w:r w:rsidRPr="00814189">
        <w:rPr>
          <w:rFonts w:cs="Times New Roman"/>
          <w:sz w:val="22"/>
          <w:lang w:eastAsia="ja-JP"/>
        </w:rPr>
        <w:t xml:space="preserve"> which present the conquest in the Deuteronomic idiom but as total, unconditional, and of short duration? In my opinion, this feature of the book of Joshua is not to be dismissed as a variant historical tradition, but understood as </w:t>
      </w:r>
      <w:r w:rsidRPr="00814189">
        <w:rPr>
          <w:rFonts w:cs="Times New Roman"/>
          <w:i/>
          <w:sz w:val="22"/>
          <w:lang w:eastAsia="ja-JP"/>
        </w:rPr>
        <w:t>a unique theological perspective of the Deuteronomic editor</w:t>
      </w:r>
      <w:r w:rsidRPr="00814189">
        <w:rPr>
          <w:rFonts w:cs="Times New Roman"/>
          <w:sz w:val="22"/>
          <w:lang w:eastAsia="ja-JP"/>
        </w:rPr>
        <w:t xml:space="preserve"> which the final canonical shape has preserved as normative. The Deuteronomic editor of Joshua fashioned his material into </w:t>
      </w:r>
      <w:r w:rsidRPr="00814189">
        <w:rPr>
          <w:rFonts w:cs="Times New Roman"/>
          <w:i/>
          <w:sz w:val="22"/>
          <w:lang w:eastAsia="ja-JP"/>
        </w:rPr>
        <w:t>a highly theological pattern</w:t>
      </w:r>
      <w:r w:rsidRPr="00814189">
        <w:rPr>
          <w:rFonts w:cs="Times New Roman"/>
          <w:sz w:val="22"/>
          <w:lang w:eastAsia="ja-JP"/>
        </w:rPr>
        <w:t xml:space="preserve"> which not only disregarded strictly historical method, but which also shifted the emphas</w:t>
      </w:r>
      <w:bookmarkStart w:id="0" w:name="_GoBack"/>
      <w:bookmarkEnd w:id="0"/>
      <w:r w:rsidRPr="00814189">
        <w:rPr>
          <w:rFonts w:cs="Times New Roman"/>
          <w:sz w:val="22"/>
          <w:lang w:eastAsia="ja-JP"/>
        </w:rPr>
        <w:t>is to a different focal point from that ordinarily represented by the Deuteronomic tradition.</w:t>
      </w:r>
    </w:p>
    <w:p w14:paraId="7D4AE2D0"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 xml:space="preserve">These interpretations do not take fully into consideration the figurative nature of the account in </w:t>
      </w:r>
      <w:r w:rsidRPr="00814189">
        <w:rPr>
          <w:rFonts w:cs="Times New Roman"/>
          <w:color w:val="0000FF"/>
          <w:u w:val="single"/>
          <w:lang w:eastAsia="ja-JP"/>
        </w:rPr>
        <w:t>Joshua 9–12</w:t>
      </w:r>
      <w:r w:rsidRPr="00814189">
        <w:rPr>
          <w:rFonts w:cs="Times New Roman"/>
          <w:lang w:eastAsia="ja-JP"/>
        </w:rPr>
        <w:t xml:space="preserve">. They have not realized the use of hyperbole in the narrative. Once one admits this element into the interpretive process, there is no reason to maintain that the account in </w:t>
      </w:r>
      <w:r w:rsidRPr="00814189">
        <w:rPr>
          <w:rFonts w:cs="Times New Roman"/>
          <w:color w:val="0000FF"/>
          <w:u w:val="single"/>
          <w:lang w:eastAsia="ja-JP"/>
        </w:rPr>
        <w:t>Joshua 9–12</w:t>
      </w:r>
      <w:r w:rsidRPr="00814189">
        <w:rPr>
          <w:rFonts w:cs="Times New Roman"/>
          <w:lang w:eastAsia="ja-JP"/>
        </w:rPr>
        <w:t xml:space="preserve"> portrays a </w:t>
      </w:r>
      <w:r w:rsidRPr="00814189">
        <w:rPr>
          <w:rFonts w:cs="Times New Roman"/>
          <w:i/>
          <w:lang w:eastAsia="ja-JP"/>
        </w:rPr>
        <w:t>complete</w:t>
      </w:r>
      <w:r w:rsidRPr="00814189">
        <w:rPr>
          <w:rFonts w:cs="Times New Roman"/>
          <w:lang w:eastAsia="ja-JP"/>
        </w:rPr>
        <w:t xml:space="preserve"> conquest.</w:t>
      </w:r>
    </w:p>
    <w:p w14:paraId="3CEC3954"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One point which must be stressed in the analysis of any ‘conquest account’ is the fact that the terms ‘conquer’ and ‘conquest’ can have a number of nuances which are not always present in every context in which they are used. When, for example, one speaks of ‘the “conquest” of France’ during World War II, or says that ‘Germany “conquered” France’, the meaning is something like ‘the German army defeated the French army in battle and occupied France’. But it did not subjugate the French people, nor did it bring about the colonization of France by Germany. Another example can be seen in these statements of Shalmaneser III:</w:t>
      </w:r>
    </w:p>
    <w:p w14:paraId="4D60176B"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I descended to the land of Kaldu. I conquered their cities. I received tribute of the kings of the land of Kaldu in the city of Babylon.</w:t>
      </w:r>
    </w:p>
    <w:p w14:paraId="7A6F3DC8"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Shalmaneser’s claim to have ‘conquered’ (</w:t>
      </w:r>
      <w:r w:rsidRPr="00814189">
        <w:rPr>
          <w:rFonts w:cs="Times New Roman"/>
          <w:i/>
          <w:lang w:eastAsia="ja-JP"/>
        </w:rPr>
        <w:t>akšud</w:t>
      </w:r>
      <w:r w:rsidRPr="00814189">
        <w:rPr>
          <w:rFonts w:cs="Times New Roman"/>
          <w:lang w:eastAsia="ja-JP"/>
        </w:rPr>
        <w:t xml:space="preserve">) the land of Kaldu must be understood in a very different way than his ‘conquest’ of Til Barsip which he renamed Kār Shalmaneser, colonized and which remained a permanent Assyrian city. In the case of Kaldu, he temporarily gained possession of these cities. But it was, nevertheless, a ‘conquest’. In this way too, the biblical account in </w:t>
      </w:r>
      <w:r w:rsidRPr="00814189">
        <w:rPr>
          <w:rFonts w:cs="Times New Roman"/>
          <w:color w:val="0000FF"/>
          <w:u w:val="single"/>
          <w:lang w:eastAsia="ja-JP"/>
        </w:rPr>
        <w:t>Joshua 10–11</w:t>
      </w:r>
      <w:r w:rsidRPr="00814189">
        <w:rPr>
          <w:rFonts w:cs="Times New Roman"/>
          <w:lang w:eastAsia="ja-JP"/>
        </w:rPr>
        <w:t xml:space="preserve"> must be understood. The Israelites may very well have ‘conquered’ the land as generally described in the narrative. But this ‘conquest’ was in many instances temporary, not permanent. It did not mean the complete subjugation of the land. This is clear from statements such as ‘Joshua waged war against all these kings for a long time’ (</w:t>
      </w:r>
      <w:r w:rsidRPr="00814189">
        <w:rPr>
          <w:rFonts w:cs="Times New Roman"/>
          <w:color w:val="0000FF"/>
          <w:u w:val="single"/>
          <w:lang w:eastAsia="ja-JP"/>
        </w:rPr>
        <w:t>11:18</w:t>
      </w:r>
      <w:r w:rsidRPr="00814189">
        <w:rPr>
          <w:rFonts w:cs="Times New Roman"/>
          <w:lang w:eastAsia="ja-JP"/>
        </w:rPr>
        <w:t>); ‘When Joshua was old and well advanced in years, YHWH said to him, “You are very old and there are still very large areas of land to be taken over. (Thus) this is the land that remains” ’ (</w:t>
      </w:r>
      <w:r w:rsidRPr="00814189">
        <w:rPr>
          <w:rFonts w:cs="Times New Roman"/>
          <w:color w:val="0000FF"/>
          <w:u w:val="single"/>
          <w:lang w:eastAsia="ja-JP"/>
        </w:rPr>
        <w:t>13:1b–2a</w:t>
      </w:r>
      <w:r w:rsidRPr="00814189">
        <w:rPr>
          <w:rFonts w:cs="Times New Roman"/>
          <w:lang w:eastAsia="ja-JP"/>
        </w:rPr>
        <w:t>); ‘Judah could not dislodge the Jebusites, who were living in Jerusalem …’ (</w:t>
      </w:r>
      <w:r w:rsidRPr="00814189">
        <w:rPr>
          <w:rFonts w:cs="Times New Roman"/>
          <w:color w:val="0000FF"/>
          <w:u w:val="single"/>
          <w:lang w:eastAsia="ja-JP"/>
        </w:rPr>
        <w:t>15:63</w:t>
      </w:r>
      <w:r w:rsidRPr="00814189">
        <w:rPr>
          <w:rFonts w:cs="Times New Roman"/>
          <w:lang w:eastAsia="ja-JP"/>
        </w:rPr>
        <w:t>); ‘They did not dislodge the Canaanites living in Gezer’ (</w:t>
      </w:r>
      <w:r w:rsidRPr="00814189">
        <w:rPr>
          <w:rFonts w:cs="Times New Roman"/>
          <w:color w:val="0000FF"/>
          <w:u w:val="single"/>
          <w:lang w:eastAsia="ja-JP"/>
        </w:rPr>
        <w:t>16:10</w:t>
      </w:r>
      <w:r w:rsidRPr="00814189">
        <w:rPr>
          <w:rFonts w:cs="Times New Roman"/>
          <w:lang w:eastAsia="ja-JP"/>
        </w:rPr>
        <w:t>); ‘Yet the Manassites were not able to occupy these towns, for the Canaanites were determined to live in that region’ (</w:t>
      </w:r>
      <w:r w:rsidRPr="00814189">
        <w:rPr>
          <w:rFonts w:cs="Times New Roman"/>
          <w:color w:val="0000FF"/>
          <w:u w:val="single"/>
          <w:lang w:eastAsia="ja-JP"/>
        </w:rPr>
        <w:t>17:12</w:t>
      </w:r>
      <w:r w:rsidRPr="00814189">
        <w:rPr>
          <w:rFonts w:cs="Times New Roman"/>
          <w:lang w:eastAsia="ja-JP"/>
        </w:rPr>
        <w:t>); etc.</w:t>
      </w:r>
    </w:p>
    <w:p w14:paraId="18A220AA"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The phrase ‘all the land’ must be understood as hyperbole. The claims to conquest have been overstated. This is a very similar situation in the vast majority of ancient Near Eastern conquest accounts.</w:t>
      </w:r>
    </w:p>
    <w:p w14:paraId="1ECBC8BD"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lang w:eastAsia="ja-JP"/>
        </w:rPr>
        <w:t>For example, in his Ten Year Annals of Muršili II states:</w:t>
      </w:r>
    </w:p>
    <w:p w14:paraId="0AE0D03B"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Thus when I had conquered all the land of Arzawa … And I conquered all the land of Arawanna … I conquered all the land of Tipiya.</w:t>
      </w:r>
    </w:p>
    <w:p w14:paraId="6DA12B8A"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 xml:space="preserve">While Mursili did gain control over these lands, the use of the term </w:t>
      </w:r>
      <w:r w:rsidRPr="00814189">
        <w:rPr>
          <w:rFonts w:cs="Times New Roman"/>
          <w:i/>
          <w:lang w:eastAsia="ja-JP"/>
        </w:rPr>
        <w:t>ḫuman-</w:t>
      </w:r>
      <w:r w:rsidRPr="00814189">
        <w:rPr>
          <w:rFonts w:cs="Times New Roman"/>
          <w:lang w:eastAsia="ja-JP"/>
        </w:rPr>
        <w:t xml:space="preserve"> (all) should be understood as a hyperbole or possibly as a synecdoche. We would prefer hyperbole considering the use of stereotyped syntagms in these contexts of Muršili’s Annals (see chapter </w:t>
      </w:r>
      <w:r w:rsidRPr="00814189">
        <w:rPr>
          <w:rFonts w:cs="Times New Roman"/>
          <w:color w:val="0000FF"/>
          <w:u w:val="single"/>
          <w:lang w:eastAsia="ja-JP"/>
        </w:rPr>
        <w:t>3</w:t>
      </w:r>
      <w:r w:rsidRPr="00814189">
        <w:rPr>
          <w:rFonts w:cs="Times New Roman"/>
          <w:lang w:eastAsia="ja-JP"/>
        </w:rPr>
        <w:t>).</w:t>
      </w:r>
    </w:p>
    <w:p w14:paraId="5B10519B"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An example from Egypt which can be cited is the ‘Bulletin’ of Ramesses II recording the Battle of Kadesh. Note the hyperbole:</w:t>
      </w:r>
    </w:p>
    <w:p w14:paraId="1C17868C"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i/>
          <w:sz w:val="22"/>
          <w:lang w:eastAsia="ja-JP"/>
        </w:rPr>
        <w:t>All</w:t>
      </w:r>
      <w:r w:rsidRPr="00814189">
        <w:rPr>
          <w:rFonts w:cs="Times New Roman"/>
          <w:sz w:val="22"/>
          <w:lang w:eastAsia="ja-JP"/>
        </w:rPr>
        <w:t xml:space="preserve"> his ground was ablaze with fire; he burned </w:t>
      </w:r>
      <w:r w:rsidRPr="00814189">
        <w:rPr>
          <w:rFonts w:cs="Times New Roman"/>
          <w:i/>
          <w:sz w:val="22"/>
          <w:lang w:eastAsia="ja-JP"/>
        </w:rPr>
        <w:t>all</w:t>
      </w:r>
      <w:r w:rsidRPr="00814189">
        <w:rPr>
          <w:rFonts w:cs="Times New Roman"/>
          <w:sz w:val="22"/>
          <w:lang w:eastAsia="ja-JP"/>
        </w:rPr>
        <w:t xml:space="preserve"> the countries with his blast. His eyes were savage as he beheld them; his power flared up like fire against them. He took no note of the </w:t>
      </w:r>
      <w:r w:rsidRPr="00814189">
        <w:rPr>
          <w:rFonts w:cs="Times New Roman"/>
          <w:i/>
          <w:sz w:val="22"/>
          <w:lang w:eastAsia="ja-JP"/>
        </w:rPr>
        <w:t>millions</w:t>
      </w:r>
      <w:r w:rsidRPr="00814189">
        <w:rPr>
          <w:rFonts w:cs="Times New Roman"/>
          <w:sz w:val="22"/>
          <w:lang w:eastAsia="ja-JP"/>
        </w:rPr>
        <w:t xml:space="preserve"> of foreigners; </w:t>
      </w:r>
      <w:r w:rsidRPr="00814189">
        <w:rPr>
          <w:rFonts w:cs="Times New Roman"/>
          <w:i/>
          <w:sz w:val="22"/>
          <w:lang w:eastAsia="ja-JP"/>
        </w:rPr>
        <w:t>he regarded them as chaff</w:t>
      </w:r>
      <w:r w:rsidRPr="00814189">
        <w:rPr>
          <w:rFonts w:cs="Times New Roman"/>
          <w:sz w:val="22"/>
          <w:lang w:eastAsia="ja-JP"/>
        </w:rPr>
        <w:t xml:space="preserve">. Then his majesty charged into the force of the Foe from Hatti together with the many countries that were with them. His majesty was like Seth, great-of-strength, like Sakhmet in the moment of her rage. His majesty slew </w:t>
      </w:r>
      <w:r w:rsidRPr="00814189">
        <w:rPr>
          <w:rFonts w:cs="Times New Roman"/>
          <w:i/>
          <w:sz w:val="22"/>
          <w:lang w:eastAsia="ja-JP"/>
        </w:rPr>
        <w:t>the entire force</w:t>
      </w:r>
      <w:r w:rsidRPr="00814189">
        <w:rPr>
          <w:rFonts w:cs="Times New Roman"/>
          <w:sz w:val="22"/>
          <w:lang w:eastAsia="ja-JP"/>
        </w:rPr>
        <w:t xml:space="preserve"> of the wretched Foe from Hatti, together with his great chiefs and all his brothers, as well as </w:t>
      </w:r>
      <w:r w:rsidRPr="00814189">
        <w:rPr>
          <w:rFonts w:cs="Times New Roman"/>
          <w:i/>
          <w:sz w:val="22"/>
          <w:lang w:eastAsia="ja-JP"/>
        </w:rPr>
        <w:t>all</w:t>
      </w:r>
      <w:r w:rsidRPr="00814189">
        <w:rPr>
          <w:rFonts w:cs="Times New Roman"/>
          <w:sz w:val="22"/>
          <w:lang w:eastAsia="ja-JP"/>
        </w:rPr>
        <w:t xml:space="preserve"> the chiefs of </w:t>
      </w:r>
      <w:r w:rsidRPr="00814189">
        <w:rPr>
          <w:rFonts w:cs="Times New Roman"/>
          <w:i/>
          <w:sz w:val="22"/>
          <w:lang w:eastAsia="ja-JP"/>
        </w:rPr>
        <w:t>all</w:t>
      </w:r>
      <w:r w:rsidRPr="00814189">
        <w:rPr>
          <w:rFonts w:cs="Times New Roman"/>
          <w:sz w:val="22"/>
          <w:lang w:eastAsia="ja-JP"/>
        </w:rPr>
        <w:t xml:space="preserve"> the countries that had come with him, their infantry and their chariotry falling on their faces one upon the other. His majesty slaughtered and slew them in their places; they sprawled before his horses; and his majesty was </w:t>
      </w:r>
      <w:r w:rsidRPr="00814189">
        <w:rPr>
          <w:rFonts w:cs="Times New Roman"/>
          <w:i/>
          <w:sz w:val="22"/>
          <w:lang w:eastAsia="ja-JP"/>
        </w:rPr>
        <w:t>alone, none other with him</w:t>
      </w:r>
      <w:r w:rsidRPr="00814189">
        <w:rPr>
          <w:rFonts w:cs="Times New Roman"/>
          <w:sz w:val="22"/>
          <w:lang w:eastAsia="ja-JP"/>
        </w:rPr>
        <w:t>.</w:t>
      </w:r>
    </w:p>
    <w:p w14:paraId="4D91572A"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My majesty caused the forces of the foes from Hatti to fall on their faces, one upon the other, as crocodiles fall, into the water of the Orontes. I was after them like a griffin; I defeated </w:t>
      </w:r>
      <w:r w:rsidRPr="00814189">
        <w:rPr>
          <w:rFonts w:cs="Times New Roman"/>
          <w:i/>
          <w:sz w:val="22"/>
          <w:lang w:eastAsia="ja-JP"/>
        </w:rPr>
        <w:t>all the foreign countries, I alone</w:t>
      </w:r>
      <w:r w:rsidRPr="00814189">
        <w:rPr>
          <w:rFonts w:cs="Times New Roman"/>
          <w:sz w:val="22"/>
          <w:lang w:eastAsia="ja-JP"/>
        </w:rPr>
        <w:t xml:space="preserve">. For my infantry and my chariotry had deserted me; </w:t>
      </w:r>
      <w:r w:rsidRPr="00814189">
        <w:rPr>
          <w:rFonts w:cs="Times New Roman"/>
          <w:i/>
          <w:sz w:val="22"/>
          <w:lang w:eastAsia="ja-JP"/>
        </w:rPr>
        <w:t>not one of them</w:t>
      </w:r>
      <w:r w:rsidRPr="00814189">
        <w:rPr>
          <w:rFonts w:cs="Times New Roman"/>
          <w:sz w:val="22"/>
          <w:lang w:eastAsia="ja-JP"/>
        </w:rPr>
        <w:t xml:space="preserve"> stood looking back. As I live, as Re loves me, as my father Atum favors me, everything that my majesty has spoken I did it in truth, in the presence of my infantry and my chariotry.</w:t>
      </w:r>
    </w:p>
    <w:p w14:paraId="5BC9C9D6"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These two paragraphs stand in the midst of a fairly straight-forward narrative. But the hyperbole is obvious.</w:t>
      </w:r>
    </w:p>
    <w:p w14:paraId="6750FFF0"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Or consider the hyperbolic language of the Merenptah (‘Israel’) Stela:</w:t>
      </w:r>
    </w:p>
    <w:tbl>
      <w:tblPr>
        <w:tblW w:w="0" w:type="auto"/>
        <w:tblLayout w:type="fixed"/>
        <w:tblCellMar>
          <w:left w:w="0" w:type="dxa"/>
          <w:right w:w="0" w:type="dxa"/>
        </w:tblCellMar>
        <w:tblLook w:val="0000" w:firstRow="0" w:lastRow="0" w:firstColumn="0" w:lastColumn="0" w:noHBand="0" w:noVBand="0"/>
      </w:tblPr>
      <w:tblGrid>
        <w:gridCol w:w="2880"/>
        <w:gridCol w:w="2880"/>
        <w:gridCol w:w="2880"/>
      </w:tblGrid>
      <w:tr w:rsidR="00814189" w:rsidRPr="00814189" w14:paraId="15E4EA42" w14:textId="77777777">
        <w:tblPrEx>
          <w:tblCellMar>
            <w:top w:w="0" w:type="dxa"/>
            <w:left w:w="0" w:type="dxa"/>
            <w:bottom w:w="0" w:type="dxa"/>
            <w:right w:w="0" w:type="dxa"/>
          </w:tblCellMar>
        </w:tblPrEx>
        <w:tc>
          <w:tcPr>
            <w:tcW w:w="2880" w:type="dxa"/>
            <w:tcBorders>
              <w:top w:val="nil"/>
              <w:left w:val="nil"/>
              <w:bottom w:val="nil"/>
              <w:right w:val="nil"/>
            </w:tcBorders>
          </w:tcPr>
          <w:p w14:paraId="29779B4A"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w:t>
            </w:r>
          </w:p>
          <w:p w14:paraId="6C8D3E72"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01A19015"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sz w:val="22"/>
                <w:lang w:eastAsia="ja-JP"/>
              </w:rPr>
              <w:t>wrw [nbw] pẖd(w) ḥr ḏd šrm</w:t>
            </w:r>
          </w:p>
          <w:p w14:paraId="2E212210"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48248EA3"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All the rulers are prostrate saying: ‘Shalom!’</w:t>
            </w:r>
          </w:p>
          <w:p w14:paraId="3D80EBDA"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13AAB9C4" w14:textId="77777777">
        <w:tblPrEx>
          <w:tblCellMar>
            <w:top w:w="0" w:type="dxa"/>
            <w:left w:w="0" w:type="dxa"/>
            <w:bottom w:w="0" w:type="dxa"/>
            <w:right w:w="0" w:type="dxa"/>
          </w:tblCellMar>
        </w:tblPrEx>
        <w:tc>
          <w:tcPr>
            <w:tcW w:w="2880" w:type="dxa"/>
            <w:tcBorders>
              <w:top w:val="nil"/>
              <w:left w:val="nil"/>
              <w:bottom w:val="nil"/>
              <w:right w:val="nil"/>
            </w:tcBorders>
          </w:tcPr>
          <w:p w14:paraId="09FB9436"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b</w:t>
            </w:r>
          </w:p>
          <w:p w14:paraId="137191DE"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06F5B89C" w14:textId="77777777" w:rsidR="00814189" w:rsidRPr="00814189" w:rsidRDefault="00814189" w:rsidP="00814189">
            <w:pPr>
              <w:widowControl w:val="0"/>
              <w:autoSpaceDE w:val="0"/>
              <w:autoSpaceDN w:val="0"/>
              <w:adjustRightInd w:val="0"/>
              <w:ind w:left="360"/>
              <w:rPr>
                <w:rFonts w:cs="Times New Roman"/>
                <w:lang w:eastAsia="ja-JP"/>
              </w:rPr>
            </w:pPr>
            <w:r w:rsidRPr="00814189">
              <w:rPr>
                <w:rFonts w:cs="Times New Roman"/>
                <w:i/>
                <w:sz w:val="22"/>
                <w:lang w:eastAsia="ja-JP"/>
              </w:rPr>
              <w:t>bn w‘ ḥr f(t) tp.f m-t’-pḏt 9</w:t>
            </w:r>
          </w:p>
          <w:p w14:paraId="1BB7ECAD" w14:textId="77777777" w:rsidR="00814189" w:rsidRPr="00814189" w:rsidRDefault="00814189" w:rsidP="00814189">
            <w:pPr>
              <w:widowControl w:val="0"/>
              <w:autoSpaceDE w:val="0"/>
              <w:autoSpaceDN w:val="0"/>
              <w:adjustRightInd w:val="0"/>
              <w:ind w:left="360"/>
              <w:rPr>
                <w:rFonts w:cs="Times New Roman"/>
                <w:lang w:eastAsia="ja-JP"/>
              </w:rPr>
            </w:pPr>
          </w:p>
        </w:tc>
        <w:tc>
          <w:tcPr>
            <w:tcW w:w="2880" w:type="dxa"/>
            <w:tcBorders>
              <w:top w:val="nil"/>
              <w:left w:val="nil"/>
              <w:bottom w:val="nil"/>
              <w:right w:val="nil"/>
            </w:tcBorders>
          </w:tcPr>
          <w:p w14:paraId="79FF5E91"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Not one dare raise his head among the Nine Bows:</w:t>
            </w:r>
          </w:p>
          <w:p w14:paraId="54DBE9F2"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4332A777" w14:textId="77777777">
        <w:tblPrEx>
          <w:tblCellMar>
            <w:top w:w="0" w:type="dxa"/>
            <w:left w:w="0" w:type="dxa"/>
            <w:bottom w:w="0" w:type="dxa"/>
            <w:right w:w="0" w:type="dxa"/>
          </w:tblCellMar>
        </w:tblPrEx>
        <w:tc>
          <w:tcPr>
            <w:tcW w:w="2880" w:type="dxa"/>
            <w:tcBorders>
              <w:top w:val="nil"/>
              <w:left w:val="nil"/>
              <w:bottom w:val="nil"/>
              <w:right w:val="nil"/>
            </w:tcBorders>
          </w:tcPr>
          <w:p w14:paraId="17A5474F"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w:t>
            </w:r>
          </w:p>
          <w:p w14:paraId="3AAD5088"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25F7390A"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sz w:val="22"/>
                <w:lang w:eastAsia="ja-JP"/>
              </w:rPr>
              <w:t>ẖf.n. Ṯḥnw</w:t>
            </w:r>
            <w:r w:rsidRPr="00814189">
              <w:rPr>
                <w:rFonts w:cs="Times New Roman"/>
                <w:sz w:val="22"/>
                <w:lang w:eastAsia="ja-JP"/>
              </w:rPr>
              <w:tab/>
            </w:r>
            <w:r w:rsidRPr="00814189">
              <w:rPr>
                <w:rFonts w:cs="Times New Roman"/>
                <w:i/>
                <w:sz w:val="22"/>
                <w:lang w:eastAsia="ja-JP"/>
              </w:rPr>
              <w:t>Ḫt’ ḥtp</w:t>
            </w:r>
          </w:p>
          <w:p w14:paraId="185400FD"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69B6A0E8"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Tjehenu (Libya) is plundered,</w:t>
            </w:r>
            <w:r w:rsidRPr="00814189">
              <w:rPr>
                <w:rFonts w:cs="Times New Roman"/>
                <w:sz w:val="22"/>
                <w:lang w:eastAsia="ja-JP"/>
              </w:rPr>
              <w:tab/>
              <w:t>Hatti is pacified.</w:t>
            </w:r>
          </w:p>
          <w:p w14:paraId="1E47CA90"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2797805D" w14:textId="77777777">
        <w:tblPrEx>
          <w:tblCellMar>
            <w:top w:w="0" w:type="dxa"/>
            <w:left w:w="0" w:type="dxa"/>
            <w:bottom w:w="0" w:type="dxa"/>
            <w:right w:w="0" w:type="dxa"/>
          </w:tblCellMar>
        </w:tblPrEx>
        <w:tc>
          <w:tcPr>
            <w:tcW w:w="2880" w:type="dxa"/>
            <w:tcBorders>
              <w:top w:val="nil"/>
              <w:left w:val="nil"/>
              <w:bottom w:val="nil"/>
              <w:right w:val="nil"/>
            </w:tcBorders>
          </w:tcPr>
          <w:p w14:paraId="094F6011"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b</w:t>
            </w:r>
          </w:p>
          <w:p w14:paraId="45252BDD"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3E10A643" w14:textId="77777777" w:rsidR="00814189" w:rsidRPr="00814189" w:rsidRDefault="00814189" w:rsidP="00814189">
            <w:pPr>
              <w:widowControl w:val="0"/>
              <w:autoSpaceDE w:val="0"/>
              <w:autoSpaceDN w:val="0"/>
              <w:adjustRightInd w:val="0"/>
              <w:ind w:left="360"/>
              <w:rPr>
                <w:rFonts w:cs="Times New Roman"/>
                <w:lang w:eastAsia="ja-JP"/>
              </w:rPr>
            </w:pPr>
            <w:r w:rsidRPr="00814189">
              <w:rPr>
                <w:rFonts w:cs="Times New Roman"/>
                <w:i/>
                <w:sz w:val="22"/>
                <w:lang w:eastAsia="ja-JP"/>
              </w:rPr>
              <w:t>ḥ’ḳ p’ K’n ‘n m bin nb</w:t>
            </w:r>
          </w:p>
          <w:p w14:paraId="1FC71E2D" w14:textId="77777777" w:rsidR="00814189" w:rsidRPr="00814189" w:rsidRDefault="00814189" w:rsidP="00814189">
            <w:pPr>
              <w:widowControl w:val="0"/>
              <w:autoSpaceDE w:val="0"/>
              <w:autoSpaceDN w:val="0"/>
              <w:adjustRightInd w:val="0"/>
              <w:ind w:left="360"/>
              <w:rPr>
                <w:rFonts w:cs="Times New Roman"/>
                <w:lang w:eastAsia="ja-JP"/>
              </w:rPr>
            </w:pPr>
          </w:p>
        </w:tc>
        <w:tc>
          <w:tcPr>
            <w:tcW w:w="2880" w:type="dxa"/>
            <w:tcBorders>
              <w:top w:val="nil"/>
              <w:left w:val="nil"/>
              <w:bottom w:val="nil"/>
              <w:right w:val="nil"/>
            </w:tcBorders>
          </w:tcPr>
          <w:p w14:paraId="34DD62EA"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carried off is Canaan with every evil.</w:t>
            </w:r>
          </w:p>
          <w:p w14:paraId="2C28782F"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27E86037" w14:textId="77777777">
        <w:tblPrEx>
          <w:tblCellMar>
            <w:top w:w="0" w:type="dxa"/>
            <w:left w:w="0" w:type="dxa"/>
            <w:bottom w:w="0" w:type="dxa"/>
            <w:right w:w="0" w:type="dxa"/>
          </w:tblCellMar>
        </w:tblPrEx>
        <w:tc>
          <w:tcPr>
            <w:tcW w:w="2880" w:type="dxa"/>
            <w:tcBorders>
              <w:top w:val="nil"/>
              <w:left w:val="nil"/>
              <w:bottom w:val="nil"/>
              <w:right w:val="nil"/>
            </w:tcBorders>
          </w:tcPr>
          <w:p w14:paraId="7A2428BA"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w:t>
            </w:r>
          </w:p>
          <w:p w14:paraId="583B6992"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7A4DE592"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sz w:val="22"/>
                <w:lang w:eastAsia="ja-JP"/>
              </w:rPr>
              <w:t>inw ’Isḥ’rn</w:t>
            </w:r>
            <w:r w:rsidRPr="00814189">
              <w:rPr>
                <w:rFonts w:cs="Times New Roman"/>
                <w:sz w:val="22"/>
                <w:lang w:eastAsia="ja-JP"/>
              </w:rPr>
              <w:tab/>
            </w:r>
            <w:r w:rsidRPr="00814189">
              <w:rPr>
                <w:rFonts w:cs="Times New Roman"/>
                <w:i/>
                <w:sz w:val="22"/>
                <w:lang w:eastAsia="ja-JP"/>
              </w:rPr>
              <w:t>mḥw m K’ḏ’r</w:t>
            </w:r>
          </w:p>
          <w:p w14:paraId="196D0296"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0608E161"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Brought away is Ashkelon,</w:t>
            </w:r>
            <w:r w:rsidRPr="00814189">
              <w:rPr>
                <w:rFonts w:cs="Times New Roman"/>
                <w:sz w:val="22"/>
                <w:lang w:eastAsia="ja-JP"/>
              </w:rPr>
              <w:tab/>
              <w:t>Gezer seized,</w:t>
            </w:r>
          </w:p>
          <w:p w14:paraId="1DBAF226"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404C8F02" w14:textId="77777777">
        <w:tblPrEx>
          <w:tblCellMar>
            <w:top w:w="0" w:type="dxa"/>
            <w:left w:w="0" w:type="dxa"/>
            <w:bottom w:w="0" w:type="dxa"/>
            <w:right w:w="0" w:type="dxa"/>
          </w:tblCellMar>
        </w:tblPrEx>
        <w:tc>
          <w:tcPr>
            <w:tcW w:w="2880" w:type="dxa"/>
            <w:tcBorders>
              <w:top w:val="nil"/>
              <w:left w:val="nil"/>
              <w:bottom w:val="nil"/>
              <w:right w:val="nil"/>
            </w:tcBorders>
          </w:tcPr>
          <w:p w14:paraId="18BFF19A"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b</w:t>
            </w:r>
          </w:p>
          <w:p w14:paraId="16A46FB3"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3D5DD5D5" w14:textId="77777777" w:rsidR="00814189" w:rsidRPr="00814189" w:rsidRDefault="00814189" w:rsidP="00814189">
            <w:pPr>
              <w:widowControl w:val="0"/>
              <w:autoSpaceDE w:val="0"/>
              <w:autoSpaceDN w:val="0"/>
              <w:adjustRightInd w:val="0"/>
              <w:ind w:left="360"/>
              <w:rPr>
                <w:rFonts w:cs="Times New Roman"/>
                <w:lang w:eastAsia="ja-JP"/>
              </w:rPr>
            </w:pPr>
            <w:r w:rsidRPr="00814189">
              <w:rPr>
                <w:rFonts w:cs="Times New Roman"/>
                <w:i/>
                <w:sz w:val="22"/>
                <w:lang w:eastAsia="ja-JP"/>
              </w:rPr>
              <w:t>Ynw‘m iri m tm wn</w:t>
            </w:r>
          </w:p>
          <w:p w14:paraId="53E121DF" w14:textId="77777777" w:rsidR="00814189" w:rsidRPr="00814189" w:rsidRDefault="00814189" w:rsidP="00814189">
            <w:pPr>
              <w:widowControl w:val="0"/>
              <w:autoSpaceDE w:val="0"/>
              <w:autoSpaceDN w:val="0"/>
              <w:adjustRightInd w:val="0"/>
              <w:ind w:left="360"/>
              <w:rPr>
                <w:rFonts w:cs="Times New Roman"/>
                <w:lang w:eastAsia="ja-JP"/>
              </w:rPr>
            </w:pPr>
          </w:p>
        </w:tc>
        <w:tc>
          <w:tcPr>
            <w:tcW w:w="2880" w:type="dxa"/>
            <w:tcBorders>
              <w:top w:val="nil"/>
              <w:left w:val="nil"/>
              <w:bottom w:val="nil"/>
              <w:right w:val="nil"/>
            </w:tcBorders>
          </w:tcPr>
          <w:p w14:paraId="7EDD4B83"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Yanoam made nonexistent;</w:t>
            </w:r>
          </w:p>
          <w:p w14:paraId="0AA6E930"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1DF0A273" w14:textId="77777777">
        <w:tblPrEx>
          <w:tblCellMar>
            <w:top w:w="0" w:type="dxa"/>
            <w:left w:w="0" w:type="dxa"/>
            <w:bottom w:w="0" w:type="dxa"/>
            <w:right w:w="0" w:type="dxa"/>
          </w:tblCellMar>
        </w:tblPrEx>
        <w:tc>
          <w:tcPr>
            <w:tcW w:w="2880" w:type="dxa"/>
            <w:tcBorders>
              <w:top w:val="nil"/>
              <w:left w:val="nil"/>
              <w:bottom w:val="nil"/>
              <w:right w:val="nil"/>
            </w:tcBorders>
          </w:tcPr>
          <w:p w14:paraId="54171EE2"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w:t>
            </w:r>
          </w:p>
          <w:p w14:paraId="1608B82B"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678E0AF5"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sz w:val="22"/>
                <w:lang w:eastAsia="ja-JP"/>
              </w:rPr>
              <w:t>Yar’r fk.t bn pr.t.f</w:t>
            </w:r>
          </w:p>
          <w:p w14:paraId="4F4741D4"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7BB54046"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Israel is wasted, his seed is not.</w:t>
            </w:r>
          </w:p>
          <w:p w14:paraId="736FAA99"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77E873F0" w14:textId="77777777">
        <w:tblPrEx>
          <w:tblCellMar>
            <w:top w:w="0" w:type="dxa"/>
            <w:left w:w="0" w:type="dxa"/>
            <w:bottom w:w="0" w:type="dxa"/>
            <w:right w:w="0" w:type="dxa"/>
          </w:tblCellMar>
        </w:tblPrEx>
        <w:tc>
          <w:tcPr>
            <w:tcW w:w="2880" w:type="dxa"/>
            <w:tcBorders>
              <w:top w:val="nil"/>
              <w:left w:val="nil"/>
              <w:bottom w:val="nil"/>
              <w:right w:val="nil"/>
            </w:tcBorders>
          </w:tcPr>
          <w:p w14:paraId="3394DACA"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b</w:t>
            </w:r>
          </w:p>
          <w:p w14:paraId="709A3605"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67175852" w14:textId="77777777" w:rsidR="00814189" w:rsidRPr="00814189" w:rsidRDefault="00814189" w:rsidP="00814189">
            <w:pPr>
              <w:widowControl w:val="0"/>
              <w:autoSpaceDE w:val="0"/>
              <w:autoSpaceDN w:val="0"/>
              <w:adjustRightInd w:val="0"/>
              <w:ind w:left="360"/>
              <w:rPr>
                <w:rFonts w:cs="Times New Roman"/>
                <w:lang w:eastAsia="ja-JP"/>
              </w:rPr>
            </w:pPr>
            <w:r w:rsidRPr="00814189">
              <w:rPr>
                <w:rFonts w:cs="Times New Roman"/>
                <w:i/>
                <w:sz w:val="22"/>
                <w:lang w:eastAsia="ja-JP"/>
              </w:rPr>
              <w:t>ḫ’r ḫprw m ḫ‘r.t n t’-mri</w:t>
            </w:r>
          </w:p>
          <w:p w14:paraId="05A44165" w14:textId="77777777" w:rsidR="00814189" w:rsidRPr="00814189" w:rsidRDefault="00814189" w:rsidP="00814189">
            <w:pPr>
              <w:widowControl w:val="0"/>
              <w:autoSpaceDE w:val="0"/>
              <w:autoSpaceDN w:val="0"/>
              <w:adjustRightInd w:val="0"/>
              <w:ind w:left="360"/>
              <w:rPr>
                <w:rFonts w:cs="Times New Roman"/>
                <w:lang w:eastAsia="ja-JP"/>
              </w:rPr>
            </w:pPr>
          </w:p>
        </w:tc>
        <w:tc>
          <w:tcPr>
            <w:tcW w:w="2880" w:type="dxa"/>
            <w:tcBorders>
              <w:top w:val="nil"/>
              <w:left w:val="nil"/>
              <w:bottom w:val="nil"/>
              <w:right w:val="nil"/>
            </w:tcBorders>
          </w:tcPr>
          <w:p w14:paraId="096D7FFC"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Hurru is become a widow for Egypt.</w:t>
            </w:r>
          </w:p>
          <w:p w14:paraId="48D3942E"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6741F0DF" w14:textId="77777777">
        <w:tblPrEx>
          <w:tblCellMar>
            <w:top w:w="0" w:type="dxa"/>
            <w:left w:w="0" w:type="dxa"/>
            <w:bottom w:w="0" w:type="dxa"/>
            <w:right w:w="0" w:type="dxa"/>
          </w:tblCellMar>
        </w:tblPrEx>
        <w:tc>
          <w:tcPr>
            <w:tcW w:w="2880" w:type="dxa"/>
            <w:tcBorders>
              <w:top w:val="nil"/>
              <w:left w:val="nil"/>
              <w:bottom w:val="nil"/>
              <w:right w:val="nil"/>
            </w:tcBorders>
          </w:tcPr>
          <w:p w14:paraId="2BB4A61D"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w:t>
            </w:r>
          </w:p>
          <w:p w14:paraId="4C557DFA"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06CEB8B0"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sz w:val="22"/>
                <w:lang w:eastAsia="ja-JP"/>
              </w:rPr>
              <w:t>t’w nbw dmḏ(w) st m ḥtpw</w:t>
            </w:r>
          </w:p>
          <w:p w14:paraId="438FFBBF"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05B9B6FE"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All lands in their entirety are (now) at peace,</w:t>
            </w:r>
          </w:p>
          <w:p w14:paraId="40ADD144"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1DCA42A8" w14:textId="77777777">
        <w:tblPrEx>
          <w:tblCellMar>
            <w:top w:w="0" w:type="dxa"/>
            <w:left w:w="0" w:type="dxa"/>
            <w:bottom w:w="0" w:type="dxa"/>
            <w:right w:w="0" w:type="dxa"/>
          </w:tblCellMar>
        </w:tblPrEx>
        <w:tc>
          <w:tcPr>
            <w:tcW w:w="2880" w:type="dxa"/>
            <w:tcBorders>
              <w:top w:val="nil"/>
              <w:left w:val="nil"/>
              <w:bottom w:val="nil"/>
              <w:right w:val="nil"/>
            </w:tcBorders>
          </w:tcPr>
          <w:p w14:paraId="67C28CAD"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b</w:t>
            </w:r>
          </w:p>
          <w:p w14:paraId="2D9BB7BE" w14:textId="77777777" w:rsidR="00814189" w:rsidRPr="00814189" w:rsidRDefault="00814189" w:rsidP="00814189">
            <w:pPr>
              <w:widowControl w:val="0"/>
              <w:autoSpaceDE w:val="0"/>
              <w:autoSpaceDN w:val="0"/>
              <w:adjustRightInd w:val="0"/>
              <w:rPr>
                <w:rFonts w:cs="Times New Roman"/>
                <w:lang w:eastAsia="ja-JP"/>
              </w:rPr>
            </w:pPr>
          </w:p>
        </w:tc>
        <w:tc>
          <w:tcPr>
            <w:tcW w:w="2880" w:type="dxa"/>
            <w:tcBorders>
              <w:top w:val="nil"/>
              <w:left w:val="nil"/>
              <w:bottom w:val="nil"/>
              <w:right w:val="nil"/>
            </w:tcBorders>
          </w:tcPr>
          <w:p w14:paraId="49E4C745" w14:textId="77777777" w:rsidR="00814189" w:rsidRPr="00814189" w:rsidRDefault="00814189" w:rsidP="00814189">
            <w:pPr>
              <w:widowControl w:val="0"/>
              <w:autoSpaceDE w:val="0"/>
              <w:autoSpaceDN w:val="0"/>
              <w:adjustRightInd w:val="0"/>
              <w:ind w:left="360"/>
              <w:rPr>
                <w:rFonts w:cs="Times New Roman"/>
                <w:lang w:eastAsia="ja-JP"/>
              </w:rPr>
            </w:pPr>
            <w:r w:rsidRPr="00814189">
              <w:rPr>
                <w:rFonts w:cs="Times New Roman"/>
                <w:i/>
                <w:sz w:val="22"/>
                <w:lang w:eastAsia="ja-JP"/>
              </w:rPr>
              <w:t>p’nty nb m sm’.w iw.tw ḥr w‘f.f</w:t>
            </w:r>
          </w:p>
          <w:p w14:paraId="68BD7456" w14:textId="77777777" w:rsidR="00814189" w:rsidRPr="00814189" w:rsidRDefault="00814189" w:rsidP="00814189">
            <w:pPr>
              <w:widowControl w:val="0"/>
              <w:autoSpaceDE w:val="0"/>
              <w:autoSpaceDN w:val="0"/>
              <w:adjustRightInd w:val="0"/>
              <w:ind w:left="360"/>
              <w:rPr>
                <w:rFonts w:cs="Times New Roman"/>
                <w:lang w:eastAsia="ja-JP"/>
              </w:rPr>
            </w:pPr>
          </w:p>
        </w:tc>
        <w:tc>
          <w:tcPr>
            <w:tcW w:w="2880" w:type="dxa"/>
            <w:tcBorders>
              <w:top w:val="nil"/>
              <w:left w:val="nil"/>
              <w:bottom w:val="nil"/>
              <w:right w:val="nil"/>
            </w:tcBorders>
          </w:tcPr>
          <w:p w14:paraId="4724F204"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sz w:val="22"/>
                <w:lang w:eastAsia="ja-JP"/>
              </w:rPr>
              <w:t>and everyone who roamed has been subdued;</w:t>
            </w:r>
          </w:p>
          <w:p w14:paraId="6F655712" w14:textId="77777777" w:rsidR="00814189" w:rsidRPr="00814189" w:rsidRDefault="00814189" w:rsidP="00814189">
            <w:pPr>
              <w:widowControl w:val="0"/>
              <w:autoSpaceDE w:val="0"/>
              <w:autoSpaceDN w:val="0"/>
              <w:adjustRightInd w:val="0"/>
              <w:rPr>
                <w:rFonts w:cs="Times New Roman"/>
                <w:lang w:eastAsia="ja-JP"/>
              </w:rPr>
            </w:pPr>
          </w:p>
        </w:tc>
      </w:tr>
    </w:tbl>
    <w:p w14:paraId="736BD6E8"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 xml:space="preserve">Thus when the figurative nature of the account is considered, there are really no grounds for concluding that </w:t>
      </w:r>
      <w:r w:rsidRPr="00814189">
        <w:rPr>
          <w:rFonts w:cs="Times New Roman"/>
          <w:color w:val="0000FF"/>
          <w:u w:val="single"/>
          <w:lang w:eastAsia="ja-JP"/>
        </w:rPr>
        <w:t>Judges 1</w:t>
      </w:r>
      <w:r w:rsidRPr="00814189">
        <w:rPr>
          <w:rFonts w:cs="Times New Roman"/>
          <w:lang w:eastAsia="ja-JP"/>
        </w:rPr>
        <w:t xml:space="preserve"> presents a different view of the conquest from that of Joshua or that it must be an older account. If scholars had realized the hyperbolic nature of the account in Joshua, if they had compared it with other ancient Near Eastern accounts of </w:t>
      </w:r>
      <w:r w:rsidRPr="00814189">
        <w:rPr>
          <w:rFonts w:cs="Times New Roman"/>
          <w:i/>
          <w:lang w:eastAsia="ja-JP"/>
        </w:rPr>
        <w:t>complete</w:t>
      </w:r>
      <w:r w:rsidRPr="00814189">
        <w:rPr>
          <w:rFonts w:cs="Times New Roman"/>
          <w:lang w:eastAsia="ja-JP"/>
        </w:rPr>
        <w:t xml:space="preserve"> conquest, if they had differentiated a little more closely in the past between occupation and subjugation, the image of the conquest as represented in Joshua would have emerged in far clearer focus than it has, and as a result there would have been no need to regard the first narratives of Judges as historical at the expense of their counterparts in Joshua.</w:t>
      </w:r>
    </w:p>
    <w:p w14:paraId="0B20851C"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Furthermore, it would have meant that one would not have had to sacrifice one account at the expense of the other. While G.E. Wright correctly points out some of the errors of those who discredit the account in Joshua, he does so by reverse argumentation: </w:t>
      </w:r>
      <w:r w:rsidRPr="00814189">
        <w:rPr>
          <w:rFonts w:cs="Times New Roman"/>
          <w:color w:val="0000FF"/>
          <w:u w:val="single"/>
          <w:lang w:eastAsia="ja-JP"/>
        </w:rPr>
        <w:t>Judges 1</w:t>
      </w:r>
      <w:r w:rsidRPr="00814189">
        <w:rPr>
          <w:rFonts w:cs="Times New Roman"/>
          <w:lang w:eastAsia="ja-JP"/>
        </w:rPr>
        <w:t xml:space="preserve"> is a composite, error filled account. While </w:t>
      </w:r>
      <w:r w:rsidRPr="00814189">
        <w:rPr>
          <w:rFonts w:cs="Times New Roman"/>
          <w:color w:val="0000FF"/>
          <w:u w:val="single"/>
          <w:lang w:eastAsia="ja-JP"/>
        </w:rPr>
        <w:t>Judges 1</w:t>
      </w:r>
      <w:r w:rsidRPr="00814189">
        <w:rPr>
          <w:rFonts w:cs="Times New Roman"/>
          <w:lang w:eastAsia="ja-JP"/>
        </w:rPr>
        <w:t xml:space="preserve"> does have numerous problems, there is no reason to represent it in this fashion. It does preserve much information which is quite ancient.</w:t>
      </w:r>
    </w:p>
    <w:p w14:paraId="799F3C57"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The fact is that both Joshua and Judges are selective in their presentation of the events. But before one passes judgment on these texts because of this selectivity, let us remind him that </w:t>
      </w:r>
      <w:r w:rsidRPr="00814189">
        <w:rPr>
          <w:rFonts w:cs="Times New Roman"/>
          <w:i/>
          <w:lang w:eastAsia="ja-JP"/>
        </w:rPr>
        <w:t>all</w:t>
      </w:r>
      <w:r w:rsidRPr="00814189">
        <w:rPr>
          <w:rFonts w:cs="Times New Roman"/>
          <w:lang w:eastAsia="ja-JP"/>
        </w:rPr>
        <w:t xml:space="preserve"> history writing is selective being written from a particular point of view. The writer of the conquest account in Joshua expressly states that the work is selective: ‘Joshua made war a long time with all those kings’ (</w:t>
      </w:r>
      <w:r w:rsidRPr="00814189">
        <w:rPr>
          <w:rFonts w:cs="Times New Roman"/>
          <w:color w:val="0000FF"/>
          <w:u w:val="single"/>
          <w:lang w:eastAsia="ja-JP"/>
        </w:rPr>
        <w:t>11:18–19</w:t>
      </w:r>
      <w:r w:rsidRPr="00814189">
        <w:rPr>
          <w:rFonts w:cs="Times New Roman"/>
          <w:lang w:eastAsia="ja-JP"/>
        </w:rPr>
        <w:t>). This statement is not a later editorial comment, but a simple declaration of the nature of the material described. Because he only describes part of the conquests, he adds that there were many more battles which he cannot mention. But this is a common practice in ancient Near Eastern conquest accounts. For example, Tiglath-Pileser I states:</w:t>
      </w:r>
    </w:p>
    <w:p w14:paraId="6CDAC625"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This is apart from many other expeditions against enemies which are not connected with (this enumeration of) my triumphs (Col. VI.49–50).</w:t>
      </w:r>
    </w:p>
    <w:p w14:paraId="1FF0730D"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Thus, we must question not only Moore’s solution, but also Childs’. The account of the conquest in Joshua does not contain a view of a complete conquest which is ‘a highly theological pattern’ resulting from ‘a unique theological perspective of the Deuteronomic editor’.</w:t>
      </w:r>
    </w:p>
    <w:p w14:paraId="667A8C11"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But there is more evidence which needs to be marshalled. The use of hyperbolic syntagms, such as ‘no survivors’, argues against the notion of a complete, total conquest. Auld misses the hyperbolic nature when he states:</w:t>
      </w:r>
    </w:p>
    <w:p w14:paraId="065C59EC"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Verse </w:t>
      </w:r>
      <w:r w:rsidRPr="00814189">
        <w:rPr>
          <w:rFonts w:cs="Times New Roman"/>
          <w:color w:val="0000FF"/>
          <w:sz w:val="22"/>
          <w:u w:val="single"/>
          <w:lang w:eastAsia="ja-JP"/>
        </w:rPr>
        <w:t>20</w:t>
      </w:r>
      <w:r w:rsidRPr="00814189">
        <w:rPr>
          <w:rFonts w:cs="Times New Roman"/>
          <w:sz w:val="22"/>
          <w:lang w:eastAsia="ja-JP"/>
        </w:rPr>
        <w:t xml:space="preserve"> reads rather oddly in the RSV translation—if their opponents were entirely wiped out then there could hardly have been a remnant to escape. The Hebrew is certainly ambiguous; but it gives me the impression that Israel completed all it could immediately after the battle and only when no more could be done (because any enemies still alive were now behind walls) did they return to their chief outside Makkedah.</w:t>
      </w:r>
    </w:p>
    <w:p w14:paraId="1FF25BDF"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All of this is unnecessary if one recognizes that the syntagm is hyperbolic. The use of the stereotyped syntagms in the narrative of </w:t>
      </w:r>
      <w:r w:rsidRPr="00814189">
        <w:rPr>
          <w:rFonts w:cs="Times New Roman"/>
          <w:color w:val="0000FF"/>
          <w:u w:val="single"/>
          <w:lang w:eastAsia="ja-JP"/>
        </w:rPr>
        <w:t>Joshua 10–12</w:t>
      </w:r>
      <w:r w:rsidRPr="00814189">
        <w:rPr>
          <w:rFonts w:cs="Times New Roman"/>
          <w:lang w:eastAsia="ja-JP"/>
        </w:rPr>
        <w:t xml:space="preserve"> builds an iterative scheme. Thus the account is simulated or synthetic. It is not meant to be interpreted in a wooden, literal sense.</w:t>
      </w:r>
    </w:p>
    <w:p w14:paraId="2FBB4923" w14:textId="77777777" w:rsidR="00814189" w:rsidRPr="00814189" w:rsidRDefault="00814189" w:rsidP="00814189">
      <w:pPr>
        <w:widowControl w:val="0"/>
        <w:autoSpaceDE w:val="0"/>
        <w:autoSpaceDN w:val="0"/>
        <w:adjustRightInd w:val="0"/>
        <w:spacing w:before="360"/>
        <w:jc w:val="center"/>
        <w:rPr>
          <w:rFonts w:cs="Times New Roman"/>
          <w:lang w:eastAsia="ja-JP"/>
        </w:rPr>
      </w:pPr>
      <w:r w:rsidRPr="00814189">
        <w:rPr>
          <w:rFonts w:cs="Times New Roman"/>
          <w:caps/>
          <w:sz w:val="28"/>
          <w:lang w:eastAsia="ja-JP"/>
        </w:rPr>
        <w:t>The Notion of An ‘All Israel’ Redaction</w:t>
      </w:r>
    </w:p>
    <w:p w14:paraId="3EF1965C"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In the previous section we looked at the figure ‘all the land’ and its implications for the concept of a complete conquest. Another figure encountered in the text of Joshua is ‘all Israel’. This phrase is often understood by biblical scholars as a reference to a ‘pan-Israelite redaction’. For example, Gray believes that:</w:t>
      </w:r>
    </w:p>
    <w:p w14:paraId="55222EAC"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The sporadic, local penetration and gradual consolidation of the components of the historical Israel in Palestine, noticed in </w:t>
      </w:r>
      <w:r w:rsidRPr="00814189">
        <w:rPr>
          <w:rFonts w:cs="Times New Roman"/>
          <w:color w:val="0000FF"/>
          <w:sz w:val="22"/>
          <w:u w:val="single"/>
          <w:lang w:eastAsia="ja-JP"/>
        </w:rPr>
        <w:t>Jg. 1</w:t>
      </w:r>
      <w:r w:rsidRPr="00814189">
        <w:rPr>
          <w:rFonts w:cs="Times New Roman"/>
          <w:sz w:val="22"/>
          <w:lang w:eastAsia="ja-JP"/>
        </w:rPr>
        <w:t xml:space="preserve"> and </w:t>
      </w:r>
      <w:r w:rsidRPr="00814189">
        <w:rPr>
          <w:rFonts w:cs="Times New Roman"/>
          <w:color w:val="0000FF"/>
          <w:sz w:val="22"/>
          <w:u w:val="single"/>
          <w:lang w:eastAsia="ja-JP"/>
        </w:rPr>
        <w:t>Jos. 15:63</w:t>
      </w:r>
      <w:r w:rsidRPr="00814189">
        <w:rPr>
          <w:rFonts w:cs="Times New Roman"/>
          <w:sz w:val="22"/>
          <w:lang w:eastAsia="ja-JP"/>
        </w:rPr>
        <w:t xml:space="preserve">; </w:t>
      </w:r>
      <w:r w:rsidRPr="00814189">
        <w:rPr>
          <w:rFonts w:cs="Times New Roman"/>
          <w:color w:val="0000FF"/>
          <w:sz w:val="22"/>
          <w:u w:val="single"/>
          <w:lang w:eastAsia="ja-JP"/>
        </w:rPr>
        <w:t>16:10</w:t>
      </w:r>
      <w:r w:rsidRPr="00814189">
        <w:rPr>
          <w:rFonts w:cs="Times New Roman"/>
          <w:sz w:val="22"/>
          <w:lang w:eastAsia="ja-JP"/>
        </w:rPr>
        <w:t xml:space="preserve"> and </w:t>
      </w:r>
      <w:r w:rsidRPr="00814189">
        <w:rPr>
          <w:rFonts w:cs="Times New Roman"/>
          <w:color w:val="0000FF"/>
          <w:sz w:val="22"/>
          <w:u w:val="single"/>
          <w:lang w:eastAsia="ja-JP"/>
        </w:rPr>
        <w:t>17:12</w:t>
      </w:r>
      <w:r w:rsidRPr="00814189">
        <w:rPr>
          <w:rFonts w:cs="Times New Roman"/>
          <w:sz w:val="22"/>
          <w:lang w:eastAsia="ja-JP"/>
        </w:rPr>
        <w:t xml:space="preserve">, contrasts strongly with the general representation of the occupation as a conquest by </w:t>
      </w:r>
      <w:r w:rsidRPr="00814189">
        <w:rPr>
          <w:rFonts w:cs="Times New Roman"/>
          <w:i/>
          <w:sz w:val="22"/>
          <w:lang w:eastAsia="ja-JP"/>
        </w:rPr>
        <w:t>all Israel</w:t>
      </w:r>
      <w:r w:rsidRPr="00814189">
        <w:rPr>
          <w:rFonts w:cs="Times New Roman"/>
          <w:sz w:val="22"/>
          <w:lang w:eastAsia="ja-JP"/>
        </w:rPr>
        <w:t xml:space="preserve"> which proceeded practically without check under Joshua’s leadership in fulfillment of the ineluctable purpose of God, who enervated the opposition usually without a struggle. </w:t>
      </w:r>
      <w:r w:rsidRPr="00814189">
        <w:rPr>
          <w:rFonts w:cs="Times New Roman"/>
          <w:i/>
          <w:sz w:val="22"/>
          <w:lang w:eastAsia="ja-JP"/>
        </w:rPr>
        <w:t xml:space="preserve">It is therefore obvious that </w:t>
      </w:r>
      <w:r w:rsidRPr="00814189">
        <w:rPr>
          <w:rFonts w:cs="Times New Roman"/>
          <w:i/>
          <w:color w:val="0000FF"/>
          <w:sz w:val="22"/>
          <w:u w:val="single"/>
          <w:lang w:eastAsia="ja-JP"/>
        </w:rPr>
        <w:t>Jos. 2–11</w:t>
      </w:r>
      <w:r w:rsidRPr="00814189">
        <w:rPr>
          <w:rFonts w:cs="Times New Roman"/>
          <w:i/>
          <w:sz w:val="22"/>
          <w:lang w:eastAsia="ja-JP"/>
        </w:rPr>
        <w:t xml:space="preserve"> is generally the stylisation of the occupation as a conquest by a compiler familiar with the ideal of a united Israel of twelve tribes, as in the J source of the Pentateuch, which was realised only under David over two centuries after the decisive penetration of Palestine by the Rachel group and the dynamic activity of Ephraim</w:t>
      </w:r>
      <w:r w:rsidRPr="00814189">
        <w:rPr>
          <w:rFonts w:cs="Times New Roman"/>
          <w:sz w:val="22"/>
          <w:lang w:eastAsia="ja-JP"/>
        </w:rPr>
        <w:t>.</w:t>
      </w:r>
    </w:p>
    <w:p w14:paraId="1B6561DD"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Miller and Tucker state:</w:t>
      </w:r>
    </w:p>
    <w:p w14:paraId="1B682BE9"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It was generally assumed that all Israel was directly involved in all these significant events, but evidence tends to suggest that in fact ‘all Israel’ did not exist until after the individual tribes had settled in Palestine.</w:t>
      </w:r>
    </w:p>
    <w:p w14:paraId="06694E35"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And E.J. Hamlin recently has commented:</w:t>
      </w:r>
    </w:p>
    <w:p w14:paraId="10EA0273"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References to ‘all Israel’ (vv. </w:t>
      </w:r>
      <w:r w:rsidRPr="00814189">
        <w:rPr>
          <w:rFonts w:cs="Times New Roman"/>
          <w:color w:val="0000FF"/>
          <w:sz w:val="22"/>
          <w:u w:val="single"/>
          <w:lang w:eastAsia="ja-JP"/>
        </w:rPr>
        <w:t>15</w:t>
      </w:r>
      <w:r w:rsidRPr="00814189">
        <w:rPr>
          <w:rFonts w:cs="Times New Roman"/>
          <w:sz w:val="22"/>
          <w:lang w:eastAsia="ja-JP"/>
        </w:rPr>
        <w:t xml:space="preserve">, </w:t>
      </w:r>
      <w:r w:rsidRPr="00814189">
        <w:rPr>
          <w:rFonts w:cs="Times New Roman"/>
          <w:color w:val="0000FF"/>
          <w:sz w:val="22"/>
          <w:u w:val="single"/>
          <w:lang w:eastAsia="ja-JP"/>
        </w:rPr>
        <w:t>31</w:t>
      </w:r>
      <w:r w:rsidRPr="00814189">
        <w:rPr>
          <w:rFonts w:cs="Times New Roman"/>
          <w:sz w:val="22"/>
          <w:lang w:eastAsia="ja-JP"/>
        </w:rPr>
        <w:t xml:space="preserve">, </w:t>
      </w:r>
      <w:r w:rsidRPr="00814189">
        <w:rPr>
          <w:rFonts w:cs="Times New Roman"/>
          <w:color w:val="0000FF"/>
          <w:sz w:val="22"/>
          <w:u w:val="single"/>
          <w:lang w:eastAsia="ja-JP"/>
        </w:rPr>
        <w:t>43</w:t>
      </w:r>
      <w:r w:rsidRPr="00814189">
        <w:rPr>
          <w:rFonts w:cs="Times New Roman"/>
          <w:sz w:val="22"/>
          <w:lang w:eastAsia="ja-JP"/>
        </w:rPr>
        <w:t>) reflect a view that the whole of the Israelite tribal league as it later became, was working together in the conquest of this part of the land. Yet, as we have seen, the Joshua group probably included only a part of what later became ‘all Israel’. This suggests an idealized rather than a sober factual account.</w:t>
      </w:r>
    </w:p>
    <w:p w14:paraId="7C6CBC48"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 xml:space="preserve">But the use of ‘all Israel’ is nothing more than a commonly encountered synecdoche found in ancient Near Eastern conquest accounts in the form: ‘all [a people’s name].’ Thus one could read a verse like </w:t>
      </w:r>
      <w:r w:rsidRPr="00814189">
        <w:rPr>
          <w:rFonts w:cs="Times New Roman"/>
          <w:color w:val="0000FF"/>
          <w:u w:val="single"/>
          <w:lang w:eastAsia="ja-JP"/>
        </w:rPr>
        <w:t>Joshua 10:29</w:t>
      </w:r>
      <w:r w:rsidRPr="00814189">
        <w:rPr>
          <w:rFonts w:cs="Times New Roman"/>
          <w:lang w:eastAsia="ja-JP"/>
        </w:rPr>
        <w:t>:</w:t>
      </w:r>
    </w:p>
    <w:p w14:paraId="7280136F"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ascii="Myriad Hebrew Bold Italic" w:hAnsi="Myriad Hebrew Bold Italic" w:cs="Myriad Hebrew Bold Italic"/>
          <w:sz w:val="22"/>
          <w:szCs w:val="29"/>
          <w:rtl/>
          <w:lang w:eastAsia="ja-JP" w:bidi="he-IL"/>
        </w:rPr>
        <w:t>ו</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עכד</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יהו</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שע</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וכל</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ישדאל</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עמד</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ממקדה</w:t>
      </w:r>
      <w:r w:rsidRPr="00814189">
        <w:rPr>
          <w:rFonts w:cs="SBL Hebrew"/>
          <w:sz w:val="22"/>
          <w:szCs w:val="29"/>
          <w:rtl/>
          <w:lang w:eastAsia="ja-JP" w:bidi="he-IL"/>
        </w:rPr>
        <w:t xml:space="preserve"> </w:t>
      </w:r>
      <w:r w:rsidRPr="00814189">
        <w:rPr>
          <w:rFonts w:ascii="Myriad Hebrew Bold Italic" w:hAnsi="Myriad Hebrew Bold Italic" w:cs="Myriad Hebrew Bold Italic"/>
          <w:sz w:val="22"/>
          <w:szCs w:val="29"/>
          <w:rtl/>
          <w:lang w:eastAsia="ja-JP" w:bidi="he-IL"/>
        </w:rPr>
        <w:t>לכבה</w:t>
      </w:r>
    </w:p>
    <w:p w14:paraId="36767E23"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sz w:val="22"/>
          <w:lang w:eastAsia="ja-JP"/>
        </w:rPr>
        <w:t>Then Joshua and all Israel with him moved on from Makkedah to Libnah;</w:t>
      </w:r>
    </w:p>
    <w:p w14:paraId="7AD1E572"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and interpret ‘all Israel’ to mean literally ‘every Israelite (man, woman and child from the families and clans of every tribe)’ moved on from Makkedah to Libnah with Joshua. However, in the light of both the context of the book of Joshua and a comparison of ancient Near Eastern conquest accounts, it seems better to understand this as a synecdoche. A few examples from ancient Near Eastern materials will help demonstrate this. From the Annals of Muršili one reads:</w:t>
      </w:r>
    </w:p>
    <w:p w14:paraId="615C335C"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i/>
          <w:sz w:val="22"/>
          <w:lang w:eastAsia="ja-JP"/>
        </w:rPr>
        <w:t xml:space="preserve">nu KUR </w:t>
      </w:r>
      <w:r w:rsidRPr="00814189">
        <w:rPr>
          <w:rFonts w:cs="Times New Roman"/>
          <w:i/>
          <w:sz w:val="22"/>
          <w:vertAlign w:val="superscript"/>
          <w:lang w:eastAsia="ja-JP"/>
        </w:rPr>
        <w:t>uru</w:t>
      </w:r>
      <w:r w:rsidRPr="00814189">
        <w:rPr>
          <w:rFonts w:cs="Times New Roman"/>
          <w:i/>
          <w:sz w:val="22"/>
          <w:lang w:eastAsia="ja-JP"/>
        </w:rPr>
        <w:t>Ka-aš-ka ḫu-u-ma-an an-da wa-ar-ri-eš-še-eš-ta</w:t>
      </w:r>
    </w:p>
    <w:p w14:paraId="292B2E75"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sz w:val="22"/>
          <w:lang w:eastAsia="ja-JP"/>
        </w:rPr>
        <w:t>The entire land of the Kaskaeans came together to help.</w:t>
      </w:r>
    </w:p>
    <w:p w14:paraId="78A216C4"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i/>
          <w:sz w:val="22"/>
          <w:lang w:eastAsia="ja-JP"/>
        </w:rPr>
        <w:t xml:space="preserve">KUR </w:t>
      </w:r>
      <w:r w:rsidRPr="00814189">
        <w:rPr>
          <w:rFonts w:cs="Times New Roman"/>
          <w:i/>
          <w:sz w:val="22"/>
          <w:vertAlign w:val="superscript"/>
          <w:lang w:eastAsia="ja-JP"/>
        </w:rPr>
        <w:t>uru</w:t>
      </w:r>
      <w:r w:rsidRPr="00814189">
        <w:rPr>
          <w:rFonts w:cs="Times New Roman"/>
          <w:i/>
          <w:sz w:val="22"/>
          <w:lang w:eastAsia="ja-JP"/>
        </w:rPr>
        <w:t>Ar-za-u-wa-ma-k·n ḫu-u-ma-an par-aš-ta</w:t>
      </w:r>
    </w:p>
    <w:p w14:paraId="7D505C5A"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sz w:val="22"/>
          <w:lang w:eastAsia="ja-JP"/>
        </w:rPr>
        <w:t>The whole country of Arzawa fled.</w:t>
      </w:r>
    </w:p>
    <w:p w14:paraId="0EF3F258"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i/>
          <w:sz w:val="22"/>
          <w:lang w:eastAsia="ja-JP"/>
        </w:rPr>
        <w:t xml:space="preserve">nu-k·n KUR </w:t>
      </w:r>
      <w:r w:rsidRPr="00814189">
        <w:rPr>
          <w:rFonts w:cs="Times New Roman"/>
          <w:i/>
          <w:sz w:val="22"/>
          <w:vertAlign w:val="superscript"/>
          <w:lang w:eastAsia="ja-JP"/>
        </w:rPr>
        <w:t>uru</w:t>
      </w:r>
      <w:r w:rsidRPr="00814189">
        <w:rPr>
          <w:rFonts w:cs="Times New Roman"/>
          <w:i/>
          <w:sz w:val="22"/>
          <w:lang w:eastAsia="ja-JP"/>
        </w:rPr>
        <w:t>Ar-za-u-wa ku-it ḫu-u-ma-an 5</w:t>
      </w:r>
      <w:r w:rsidRPr="00814189">
        <w:rPr>
          <w:rFonts w:cs="Times New Roman"/>
          <w:i/>
          <w:sz w:val="22"/>
          <w:vertAlign w:val="superscript"/>
          <w:lang w:eastAsia="ja-JP"/>
        </w:rPr>
        <w:t>5</w:t>
      </w:r>
      <w:r w:rsidRPr="00814189">
        <w:rPr>
          <w:rFonts w:cs="Times New Roman"/>
          <w:i/>
          <w:sz w:val="22"/>
          <w:lang w:eastAsia="ja-JP"/>
        </w:rPr>
        <w:t>x x x x x I-NA</w:t>
      </w:r>
    </w:p>
    <w:p w14:paraId="3FA4C102"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i/>
          <w:sz w:val="22"/>
          <w:vertAlign w:val="superscript"/>
          <w:lang w:eastAsia="ja-JP"/>
        </w:rPr>
        <w:t>uru</w:t>
      </w:r>
      <w:r w:rsidRPr="00814189">
        <w:rPr>
          <w:rFonts w:cs="Times New Roman"/>
          <w:i/>
          <w:sz w:val="22"/>
          <w:lang w:eastAsia="ja-JP"/>
        </w:rPr>
        <w:t>Pu-ra-an-da ša-ra-a pa-a-an e-eš-ta</w:t>
      </w:r>
    </w:p>
    <w:p w14:paraId="2E8D358E"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sz w:val="22"/>
          <w:lang w:eastAsia="ja-JP"/>
        </w:rPr>
        <w:t>And because the whole land of Arzawa x x x x (?) had gone over to the area of Puranda.</w:t>
      </w:r>
    </w:p>
    <w:p w14:paraId="7A4C5B87"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i/>
          <w:sz w:val="22"/>
          <w:lang w:eastAsia="ja-JP"/>
        </w:rPr>
        <w:t>nu KUR-e-an-za ḫu-u-ma-an-za URU.AŠ.AŠ.ḪI.A BAD</w:t>
      </w:r>
      <w:r w:rsidRPr="00814189">
        <w:rPr>
          <w:rFonts w:cs="Times New Roman"/>
          <w:i/>
          <w:sz w:val="22"/>
          <w:vertAlign w:val="superscript"/>
          <w:lang w:eastAsia="ja-JP"/>
        </w:rPr>
        <w:t>37</w:t>
      </w:r>
      <w:r w:rsidRPr="00814189">
        <w:rPr>
          <w:rFonts w:cs="Times New Roman"/>
          <w:i/>
          <w:sz w:val="22"/>
          <w:lang w:eastAsia="ja-JP"/>
        </w:rPr>
        <w:t>EGIR-pa e-ip-pir</w:t>
      </w:r>
    </w:p>
    <w:p w14:paraId="5E604D2A"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sz w:val="22"/>
          <w:lang w:eastAsia="ja-JP"/>
        </w:rPr>
        <w:t>(But) the whole country withdrew to the fortress towns.</w:t>
      </w:r>
    </w:p>
    <w:p w14:paraId="2F7D3FAB"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 xml:space="preserve">One may think that we are pointing out the obvious. But the number of commentators who misunderstand this figure is plethora. For instance, Noth felt that chapters </w:t>
      </w:r>
      <w:r w:rsidRPr="00814189">
        <w:rPr>
          <w:rFonts w:cs="Times New Roman"/>
          <w:color w:val="0000FF"/>
          <w:u w:val="single"/>
          <w:lang w:eastAsia="ja-JP"/>
        </w:rPr>
        <w:t>10–11</w:t>
      </w:r>
      <w:r w:rsidRPr="00814189">
        <w:rPr>
          <w:rFonts w:cs="Times New Roman"/>
          <w:lang w:eastAsia="ja-JP"/>
        </w:rPr>
        <w:t xml:space="preserve"> were two war narratives which originally were of merely local importance. Secondarily they were elevated to a status involving ‘all Israel’ and ‘Joshua’. Thus he attributed the expression ‘all Israel’ to this secondary stage in the compilation of the book. But in light of the foregoing discussion of the figurative aspect in these chapters, Noth’s hypothesis appears less plausible.</w:t>
      </w:r>
    </w:p>
    <w:p w14:paraId="73003CD0"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Just as the references in the Annals of Tiglath-Pileser I to ‘all the Paphu (</w:t>
      </w:r>
      <w:r w:rsidRPr="00814189">
        <w:rPr>
          <w:rFonts w:cs="Times New Roman"/>
          <w:i/>
          <w:lang w:eastAsia="ja-JP"/>
        </w:rPr>
        <w:t xml:space="preserve">kullat </w:t>
      </w:r>
      <w:r w:rsidRPr="00814189">
        <w:rPr>
          <w:rFonts w:cs="Times New Roman"/>
          <w:i/>
          <w:vertAlign w:val="superscript"/>
          <w:lang w:eastAsia="ja-JP"/>
        </w:rPr>
        <w:t>māt</w:t>
      </w:r>
      <w:r w:rsidRPr="00814189">
        <w:rPr>
          <w:rFonts w:cs="Times New Roman"/>
          <w:i/>
          <w:lang w:eastAsia="ja-JP"/>
        </w:rPr>
        <w:t>Pap-ḫe-e</w:t>
      </w:r>
      <w:r w:rsidRPr="00814189">
        <w:rPr>
          <w:rFonts w:cs="Times New Roman"/>
          <w:lang w:eastAsia="ja-JP"/>
        </w:rPr>
        <w:t>)’ are figurative (probably a synecdoche), so also the idea conveyed in the phrase ‘all Israel’ is figurative (probably equivalent to ‘Israel’ as represented in the Merenptah Stela). Therefore, the proposal of a pan-Israelite redaction is unnecessary. Furthermore, Hamlin’s evaluation that ‘this suggests an idealized rather than a sober factual account’ is especially questionable.</w:t>
      </w:r>
    </w:p>
    <w:p w14:paraId="6B29F284" w14:textId="77777777" w:rsidR="00814189" w:rsidRPr="00814189" w:rsidRDefault="00814189" w:rsidP="00814189">
      <w:pPr>
        <w:widowControl w:val="0"/>
        <w:autoSpaceDE w:val="0"/>
        <w:autoSpaceDN w:val="0"/>
        <w:adjustRightInd w:val="0"/>
        <w:spacing w:before="360"/>
        <w:jc w:val="center"/>
        <w:rPr>
          <w:rFonts w:cs="Times New Roman"/>
          <w:lang w:eastAsia="ja-JP"/>
        </w:rPr>
      </w:pPr>
      <w:r w:rsidRPr="00814189">
        <w:rPr>
          <w:rFonts w:cs="Times New Roman"/>
          <w:caps/>
          <w:sz w:val="28"/>
          <w:lang w:eastAsia="ja-JP"/>
        </w:rPr>
        <w:t>Sources, Structure and Composition</w:t>
      </w:r>
    </w:p>
    <w:p w14:paraId="4349B501"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According to many biblical scholars, a particular text is history writing only if it is dependent on accounts of eyewitnesses and the distance between the account and its author is not too remote. Thus it is not surprising to find in a recent commentary on the text of Joshua the following:</w:t>
      </w:r>
    </w:p>
    <w:p w14:paraId="7DB1B55C"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Joshua and Judges are about the past; but if the main thrust of Noth’s arguments is valid then it is a past viewed from a great distance. The Israelite and Judean monarchy lasted for a little over four hundred years. If Deuteronomy or Joshua through to Kings is a unit then it was written after the last king had fallen. And the rest of the chapters of the story were more distant from its writer or writers than Elizabeth I and Shakespeare and the founding fathers of the new world across the Atlantic are from us. Memory of the past they may be—but historical record hardly.</w:t>
      </w:r>
    </w:p>
    <w:p w14:paraId="25878DFF"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Similarly, Miller and Tucker conclude that:</w:t>
      </w:r>
    </w:p>
    <w:p w14:paraId="5C5F47FA"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It is a sound principle of historical reconstruction that—all other things being equal—the older the document, or the nearer it is to the events under consideration, the more reliable it is … the ideal source is one which comes from the time of the events … By these principles the book of Joshua has severe limitations as evidence upon which to base historical reconstruction. Much of the material is too late to be very reliable …</w:t>
      </w:r>
    </w:p>
    <w:p w14:paraId="4E592194"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But our study has questioned such assumptions. Let us closely scrutinize the statement of Miller and Tucker that:</w:t>
      </w:r>
    </w:p>
    <w:p w14:paraId="4C6A09D9"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the older the document, or the nearer it is to the events under consideration, the more reliable it is … the ideal source is one which comes from the time of the events.</w:t>
      </w:r>
    </w:p>
    <w:p w14:paraId="1B08B6EE"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In 1945 as the Second World War ended, a history of that war was published. This was a massive account of almost 1,000 pages and over 200 photographs. According to Miller and Tucker, this volume should be ‘more reliable’ than later histories of the War and ‘an ideal source’. However, one finds that this is not always the case. For example, concerning the causes of the war, the volume states:</w:t>
      </w:r>
    </w:p>
    <w:p w14:paraId="385E8DEC"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The Treaty of Versailles has been criticized as both too severe and too lenient—events have proved that it was too lenient. It failed to recognize the psychology of Europe which for three hundred years has been a ‘breeding ground’ for war. In its compromises, with its diplomatic exchanges, it placed too great faith in the pledges of the war-mongers.</w:t>
      </w:r>
    </w:p>
    <w:p w14:paraId="1E7758D3"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Few historians today would agree with this interpretation of the treaty. Moreover, while the author of the volume, is able to present the events of the War in the right order and is generally reliable, he cannot interpret them in terms of their relationship to the Cold War, the nuclear age, etc.</w:t>
      </w:r>
    </w:p>
    <w:p w14:paraId="63975212"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Thus the implication is that not being witness to the event is not such a bad thing if our interests are historical. Whether the author of the biblical text was an eyewitness or not need not effect our decision concerning whether it is history or not. Furthermore, the credibility of the biblical accounts does not necessarily decrease ‘in the ratio of their distance in time from the narrator’.</w:t>
      </w:r>
    </w:p>
    <w:p w14:paraId="3F3457F4"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There are numerous points at which our study concering the literary fashioning of the ancient historial narrative has implications for the understanding of the structure and composition of the narrative. The use of hyperbole in </w:t>
      </w:r>
      <w:r w:rsidRPr="00814189">
        <w:rPr>
          <w:rFonts w:cs="Times New Roman"/>
          <w:color w:val="0000FF"/>
          <w:u w:val="single"/>
          <w:lang w:eastAsia="ja-JP"/>
        </w:rPr>
        <w:t>9:1</w:t>
      </w:r>
      <w:r w:rsidRPr="00814189">
        <w:rPr>
          <w:rFonts w:cs="Times New Roman"/>
          <w:lang w:eastAsia="ja-JP"/>
        </w:rPr>
        <w:t xml:space="preserve"> is one example. Miller and Tucker argue that:</w:t>
      </w:r>
    </w:p>
    <w:p w14:paraId="561EF631"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His statement envisages an alliance of all the rulers of the diverse and independent city states of Palestine. But the summary is not entirely consistent with the material which follows. The remainder of ch. </w:t>
      </w:r>
      <w:r w:rsidRPr="00814189">
        <w:rPr>
          <w:rFonts w:cs="Times New Roman"/>
          <w:color w:val="0000FF"/>
          <w:sz w:val="22"/>
          <w:u w:val="single"/>
          <w:lang w:eastAsia="ja-JP"/>
        </w:rPr>
        <w:t>9</w:t>
      </w:r>
      <w:r w:rsidRPr="00814189">
        <w:rPr>
          <w:rFonts w:cs="Times New Roman"/>
          <w:sz w:val="22"/>
          <w:lang w:eastAsia="ja-JP"/>
        </w:rPr>
        <w:t xml:space="preserve"> reports how one city sought and won peace with Israel, ch. </w:t>
      </w:r>
      <w:r w:rsidRPr="00814189">
        <w:rPr>
          <w:rFonts w:cs="Times New Roman"/>
          <w:color w:val="0000FF"/>
          <w:sz w:val="22"/>
          <w:u w:val="single"/>
          <w:lang w:eastAsia="ja-JP"/>
        </w:rPr>
        <w:t>10</w:t>
      </w:r>
      <w:r w:rsidRPr="00814189">
        <w:rPr>
          <w:rFonts w:cs="Times New Roman"/>
          <w:sz w:val="22"/>
          <w:lang w:eastAsia="ja-JP"/>
        </w:rPr>
        <w:t xml:space="preserve"> tells of the defeat of a coalition of five cities in the southern hill-country, and ch. </w:t>
      </w:r>
      <w:r w:rsidRPr="00814189">
        <w:rPr>
          <w:rFonts w:cs="Times New Roman"/>
          <w:color w:val="0000FF"/>
          <w:sz w:val="22"/>
          <w:u w:val="single"/>
          <w:lang w:eastAsia="ja-JP"/>
        </w:rPr>
        <w:t>11</w:t>
      </w:r>
      <w:r w:rsidRPr="00814189">
        <w:rPr>
          <w:rFonts w:cs="Times New Roman"/>
          <w:sz w:val="22"/>
          <w:lang w:eastAsia="ja-JP"/>
        </w:rPr>
        <w:t xml:space="preserve"> gives an account of the destruction of Hazor and her allies in the north. This statement, in short, is more grandiose than the sum of the individual stories. The editor has a tendency to exaggerate and simplify events, and does so in similar transitional passages throughout the book (cp. </w:t>
      </w:r>
      <w:r w:rsidRPr="00814189">
        <w:rPr>
          <w:rFonts w:cs="Times New Roman"/>
          <w:color w:val="0000FF"/>
          <w:sz w:val="22"/>
          <w:u w:val="single"/>
          <w:lang w:eastAsia="ja-JP"/>
        </w:rPr>
        <w:t>10:40–42</w:t>
      </w:r>
      <w:r w:rsidRPr="00814189">
        <w:rPr>
          <w:rFonts w:cs="Times New Roman"/>
          <w:sz w:val="22"/>
          <w:lang w:eastAsia="ja-JP"/>
        </w:rPr>
        <w:t xml:space="preserve">; </w:t>
      </w:r>
      <w:r w:rsidRPr="00814189">
        <w:rPr>
          <w:rFonts w:cs="Times New Roman"/>
          <w:color w:val="0000FF"/>
          <w:sz w:val="22"/>
          <w:u w:val="single"/>
          <w:lang w:eastAsia="ja-JP"/>
        </w:rPr>
        <w:t>11:16–20</w:t>
      </w:r>
      <w:r w:rsidRPr="00814189">
        <w:rPr>
          <w:rFonts w:cs="Times New Roman"/>
          <w:sz w:val="22"/>
          <w:lang w:eastAsia="ja-JP"/>
        </w:rPr>
        <w:t>).</w:t>
      </w:r>
    </w:p>
    <w:p w14:paraId="7CD7ABBC"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But if the passage is understood as hyperbole the problem disappears (cf. our discussion of Tiglath-Pileser I’s war against Nairi in chapter </w:t>
      </w:r>
      <w:r w:rsidRPr="00814189">
        <w:rPr>
          <w:rFonts w:cs="Times New Roman"/>
          <w:color w:val="0000FF"/>
          <w:u w:val="single"/>
          <w:lang w:eastAsia="ja-JP"/>
        </w:rPr>
        <w:t>5</w:t>
      </w:r>
      <w:r w:rsidRPr="00814189">
        <w:rPr>
          <w:rFonts w:cs="Times New Roman"/>
          <w:lang w:eastAsia="ja-JP"/>
        </w:rPr>
        <w:t>).</w:t>
      </w:r>
    </w:p>
    <w:p w14:paraId="78E447C0"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Another example of the figurative aspect can be seen in the use of syntagmic structure. It is through the syntagmic analysis that we further comprehend the figurative aspect of the conquest account. The iterative scheme created by the usage of stereotyped syntagms reveals the representative or simulated nature of the account.</w:t>
      </w:r>
    </w:p>
    <w:p w14:paraId="68A185B6"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This has ramifications on understanding the structure and composition of </w:t>
      </w:r>
      <w:r w:rsidRPr="00814189">
        <w:rPr>
          <w:rFonts w:cs="Times New Roman"/>
          <w:color w:val="0000FF"/>
          <w:u w:val="single"/>
          <w:lang w:eastAsia="ja-JP"/>
        </w:rPr>
        <w:t>Joshua 9–12</w:t>
      </w:r>
      <w:r w:rsidRPr="00814189">
        <w:rPr>
          <w:rFonts w:cs="Times New Roman"/>
          <w:lang w:eastAsia="ja-JP"/>
        </w:rPr>
        <w:t xml:space="preserve">. For example, Miller and Tucker comment concerning </w:t>
      </w:r>
      <w:r w:rsidRPr="00814189">
        <w:rPr>
          <w:rFonts w:cs="Times New Roman"/>
          <w:color w:val="0000FF"/>
          <w:u w:val="single"/>
          <w:lang w:eastAsia="ja-JP"/>
        </w:rPr>
        <w:t>1:1–15</w:t>
      </w:r>
      <w:r w:rsidRPr="00814189">
        <w:rPr>
          <w:rFonts w:cs="Times New Roman"/>
          <w:lang w:eastAsia="ja-JP"/>
        </w:rPr>
        <w:t>:</w:t>
      </w:r>
    </w:p>
    <w:p w14:paraId="179385CA"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This report of victory in the north has something of the appearance of an appendix: it must have circulated independently, probably as the traditions of one or more northern tribes, before it was made a part of the account of the conquest by all Israel under Joshua. The transition is abrupt, the only link with the preceding narrative being the note that ‘Jabin, king of Hazor, heard of all this’, i.e. Israel’s victories.</w:t>
      </w:r>
    </w:p>
    <w:p w14:paraId="118054BA"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 xml:space="preserve">However, in light of the syntagmic patterning in Joshua and other ancient Near Eastern conquest accounts, the section </w:t>
      </w:r>
      <w:r w:rsidRPr="00814189">
        <w:rPr>
          <w:rFonts w:cs="Times New Roman"/>
          <w:color w:val="0000FF"/>
          <w:u w:val="single"/>
          <w:lang w:eastAsia="ja-JP"/>
        </w:rPr>
        <w:t>11:1–15</w:t>
      </w:r>
      <w:r w:rsidRPr="00814189">
        <w:rPr>
          <w:rFonts w:cs="Times New Roman"/>
          <w:lang w:eastAsia="ja-JP"/>
        </w:rPr>
        <w:t xml:space="preserve"> is simply an episode constructed on a common transmission code of the ancient Near East. It exhibits a high degree of similarity to chapter </w:t>
      </w:r>
      <w:r w:rsidRPr="00814189">
        <w:rPr>
          <w:rFonts w:cs="Times New Roman"/>
          <w:color w:val="0000FF"/>
          <w:u w:val="single"/>
          <w:lang w:eastAsia="ja-JP"/>
        </w:rPr>
        <w:t>10</w:t>
      </w:r>
      <w:r w:rsidRPr="00814189">
        <w:rPr>
          <w:rFonts w:cs="Times New Roman"/>
          <w:lang w:eastAsia="ja-JP"/>
        </w:rPr>
        <w:t xml:space="preserve">. Noth attributes </w:t>
      </w:r>
      <w:r w:rsidRPr="00814189">
        <w:rPr>
          <w:rFonts w:cs="Times New Roman"/>
          <w:color w:val="0000FF"/>
          <w:u w:val="single"/>
          <w:lang w:eastAsia="ja-JP"/>
        </w:rPr>
        <w:t>10:40–42</w:t>
      </w:r>
      <w:r w:rsidRPr="00814189">
        <w:rPr>
          <w:rFonts w:cs="Times New Roman"/>
          <w:lang w:eastAsia="ja-JP"/>
        </w:rPr>
        <w:t xml:space="preserve"> to the work of the </w:t>
      </w:r>
      <w:r w:rsidRPr="00814189">
        <w:rPr>
          <w:rFonts w:cs="Times New Roman"/>
          <w:i/>
          <w:lang w:eastAsia="ja-JP"/>
        </w:rPr>
        <w:t>Sammler</w:t>
      </w:r>
      <w:r w:rsidRPr="00814189">
        <w:rPr>
          <w:rFonts w:cs="Times New Roman"/>
          <w:lang w:eastAsia="ja-JP"/>
        </w:rPr>
        <w:t>; and Butler sees this as the theological conclusion of the Compiler. Such conclusions are unnecessary. It is quite natural to have a summary statement in the ancient Near Eastern royal inscriptions. For example, Tiglath-Pileser I states:</w:t>
      </w:r>
    </w:p>
    <w:p w14:paraId="033F1BD8"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Altogether 42 lands and their kings from the other side of the Lower Zab in distant mountainous regions to the other side of the Euphrates—the Hatti-land and the Upper Sea in the west—from my accession year to my fifth regnal year—I conquered. I subdued them to one authority. I took hostages from them. I imposed on them tribute and tax. This is apart from many other expeditions against enemies which are not connected with (this enumeration of) my triumphs. I pursued my enemies by chariot in favorable terrain and on foot in rough terrain. I prevented the enemies from setting foot in my land.</w:t>
      </w:r>
    </w:p>
    <w:p w14:paraId="271BF0C2"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My heroic victories, my successful battles, (and) the suppression of the enemies (and) foes of Aššur, which An and Adad granted me, I wrote on my steles and clay inscriptions.</w:t>
      </w:r>
    </w:p>
    <w:p w14:paraId="75EFFA4C"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In this regard, the Armant Stela of Thutmose III also demonstrates the use of summaries in the transmission code of ancient conquest accounts:</w:t>
      </w:r>
    </w:p>
    <w:p w14:paraId="126232D1"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Year 22, the second month of winter, day 10: Summary of the deeds of valour and victory which this good god performed on every excellent occasion of activity from the beginning since the first generation (of men). That which the Lord of the gods, the Lord of Hermonthis, did for him was to magnify his victories, so that his conquests might be related for millions of years to come, apart from the deeds of activity which his majesty did in both seasons, for if one were to mention each occasion by name, they would be too numerous to put into writing.</w:t>
      </w:r>
    </w:p>
    <w:p w14:paraId="5C44437B"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Therefore, the use of summary statements in a historical account should not lead modern interpreters to necessarily conclude that such statements are the product of redactional work as biblical scholars have often envisioned it.</w:t>
      </w:r>
    </w:p>
    <w:p w14:paraId="41DDB16E"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Therefore, syntagmic analysis reveals the figurative nature of the account. Since the iterative code employing stereotyped language is figurative (and hence in a sense synthetic), the interpretation of the text must take this into account. For example, the repetitive patterning of stereotyped syntagms creates an almost artificial or simulated account so that the individual syntagms must be interpreted figuratively. Consequently, as noted above, such syntagms as ‘there were no survivors’, ‘all the land’, etc. in all probability are hyperbolic. This explodes the position which contrasts </w:t>
      </w:r>
      <w:r w:rsidRPr="00814189">
        <w:rPr>
          <w:rFonts w:cs="Times New Roman"/>
          <w:color w:val="0000FF"/>
          <w:u w:val="single"/>
          <w:lang w:eastAsia="ja-JP"/>
        </w:rPr>
        <w:t>Joshua 10–11</w:t>
      </w:r>
      <w:r w:rsidRPr="00814189">
        <w:rPr>
          <w:rFonts w:cs="Times New Roman"/>
          <w:lang w:eastAsia="ja-JP"/>
        </w:rPr>
        <w:t xml:space="preserve"> and </w:t>
      </w:r>
      <w:r w:rsidRPr="00814189">
        <w:rPr>
          <w:rFonts w:cs="Times New Roman"/>
          <w:color w:val="0000FF"/>
          <w:u w:val="single"/>
          <w:lang w:eastAsia="ja-JP"/>
        </w:rPr>
        <w:t>Judges 1</w:t>
      </w:r>
      <w:r w:rsidRPr="00814189">
        <w:rPr>
          <w:rFonts w:cs="Times New Roman"/>
          <w:lang w:eastAsia="ja-JP"/>
        </w:rPr>
        <w:t xml:space="preserve"> and concludes that the latter is history writing and the former is not.</w:t>
      </w:r>
    </w:p>
    <w:p w14:paraId="70ECAA71" w14:textId="77777777" w:rsidR="00814189" w:rsidRPr="00814189" w:rsidRDefault="00814189" w:rsidP="00814189">
      <w:pPr>
        <w:widowControl w:val="0"/>
        <w:autoSpaceDE w:val="0"/>
        <w:autoSpaceDN w:val="0"/>
        <w:adjustRightInd w:val="0"/>
        <w:spacing w:before="360"/>
        <w:jc w:val="center"/>
        <w:rPr>
          <w:rFonts w:cs="Times New Roman"/>
          <w:lang w:eastAsia="ja-JP"/>
        </w:rPr>
      </w:pPr>
      <w:r w:rsidRPr="00814189">
        <w:rPr>
          <w:rFonts w:cs="Times New Roman"/>
          <w:caps/>
          <w:sz w:val="28"/>
          <w:lang w:eastAsia="ja-JP"/>
        </w:rPr>
        <w:t>Ideological aspect</w:t>
      </w:r>
    </w:p>
    <w:p w14:paraId="425396F4"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Israelite ideology had certain similarities with the ‘Imperialistic’ ideologies of the ancient Near East—Assyrian, Hittite, Egyptian. In the previous chapter we described the areas of similarity: a similar view of the enemy, calculated terror, the high use of hyperbole, a jural aspect, and the use of stereotyped syntagms to transmit the high-redundance message of the ideology. It would seem that a similar ideology is underlying both the ancient Near Eastern and biblical texts. If this is true, then it may signal difficulties with the ‘peasant revolt’ theory of Israelite origins.</w:t>
      </w:r>
    </w:p>
    <w:p w14:paraId="1BD2E9AE"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Norman Gottwald has probably presented the most powerful case for regarding Israel in this period as an egalitarian society throwing off the oppressive rule of the Canaanite city-states:</w:t>
      </w:r>
    </w:p>
    <w:p w14:paraId="055B864A"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color w:val="0000FF"/>
          <w:sz w:val="22"/>
          <w:u w:val="single"/>
          <w:lang w:eastAsia="ja-JP"/>
        </w:rPr>
        <w:t>Joshua 10:16–43</w:t>
      </w:r>
      <w:r w:rsidRPr="00814189">
        <w:rPr>
          <w:rFonts w:cs="Times New Roman"/>
          <w:sz w:val="22"/>
          <w:lang w:eastAsia="ja-JP"/>
        </w:rPr>
        <w:t xml:space="preserve"> is noteworthy because it stands out from its later Deuteronomic mold in emphasizing that the royal-aristocratic establishment was what Israel opposed and not the populace in its entirety … I am not, therefore, claiming that those particular five cities were all taken in one blow by defeating their kings in coalition, in contrast to their having been taken one by one, as the subsequent account reports. My point is that, in spite of the two different historical horizons in the traditions about the aftermath of the battle of Gibeon, when separately examined they attest a common early emphasis upon the kings and their armies as the enemies of Israel and not the populace of the cities ‘in toto’. Both accounts are extremely patterned, highly legendary in their stylization, but they show that the sociopolitical situation they are ideologizing was a confrontation between Israel and the royal aristocratic statist system of rule centered in the cities.</w:t>
      </w:r>
    </w:p>
    <w:p w14:paraId="233B82B3"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In the light of our study, however, it would appear that Gottwald is incorrect. The account in </w:t>
      </w:r>
      <w:r w:rsidRPr="00814189">
        <w:rPr>
          <w:rFonts w:cs="Times New Roman"/>
          <w:color w:val="0000FF"/>
          <w:u w:val="single"/>
          <w:lang w:eastAsia="ja-JP"/>
        </w:rPr>
        <w:t>Joshua 9–12</w:t>
      </w:r>
      <w:r w:rsidRPr="00814189">
        <w:rPr>
          <w:rFonts w:cs="Times New Roman"/>
          <w:lang w:eastAsia="ja-JP"/>
        </w:rPr>
        <w:t xml:space="preserve"> is no more an ‘ideologizing of a confrontation between Israel and the royal aristocratic statist system of rule centered in the cities’ than any of the Assyrian, Hittite, or Egyptian accounts are. These accounts describe ‘total warfare’ which often included the population using many of the same syntagms and figures that are encountered in the biblical account. Thus we see no reason to posit that the Israelite conquest was a confrontation between Israel and the royal elite of the city-states (at least not in these chapters).</w:t>
      </w:r>
    </w:p>
    <w:p w14:paraId="3D11E13F"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W. Brueggemann has recently analyzed </w:t>
      </w:r>
      <w:r w:rsidRPr="00814189">
        <w:rPr>
          <w:rFonts w:cs="Times New Roman"/>
          <w:color w:val="0000FF"/>
          <w:u w:val="single"/>
          <w:lang w:eastAsia="ja-JP"/>
        </w:rPr>
        <w:t>Joshua 11</w:t>
      </w:r>
      <w:r w:rsidRPr="00814189">
        <w:rPr>
          <w:rFonts w:cs="Times New Roman"/>
          <w:lang w:eastAsia="ja-JP"/>
        </w:rPr>
        <w:t xml:space="preserve"> using a sociological and literary method. He follows the analysis of Gottwald in considering ‘the city-states to be monopolies of socio-economic, political power which are managed in hierarchal and oppressive ways’ and which are in direct opposition to Israel, which is ‘an egalitarian, peasant movement that is hostile to every concentration, surplus, and monopoly’. He feels that the strongest evidence that this was the situation behind the text of </w:t>
      </w:r>
      <w:r w:rsidRPr="00814189">
        <w:rPr>
          <w:rFonts w:cs="Times New Roman"/>
          <w:color w:val="0000FF"/>
          <w:u w:val="single"/>
          <w:lang w:eastAsia="ja-JP"/>
        </w:rPr>
        <w:t>Joshua 11</w:t>
      </w:r>
      <w:r w:rsidRPr="00814189">
        <w:rPr>
          <w:rFonts w:cs="Times New Roman"/>
          <w:lang w:eastAsia="ja-JP"/>
        </w:rPr>
        <w:t xml:space="preserve"> is threefold mentioning of ‘horses and chariots’ (vv. </w:t>
      </w:r>
      <w:r w:rsidRPr="00814189">
        <w:rPr>
          <w:rFonts w:cs="Times New Roman"/>
          <w:color w:val="0000FF"/>
          <w:u w:val="single"/>
          <w:lang w:eastAsia="ja-JP"/>
        </w:rPr>
        <w:t>4</w:t>
      </w:r>
      <w:r w:rsidRPr="00814189">
        <w:rPr>
          <w:rFonts w:cs="Times New Roman"/>
          <w:lang w:eastAsia="ja-JP"/>
        </w:rPr>
        <w:t xml:space="preserve">, </w:t>
      </w:r>
      <w:r w:rsidRPr="00814189">
        <w:rPr>
          <w:rFonts w:cs="Times New Roman"/>
          <w:color w:val="0000FF"/>
          <w:u w:val="single"/>
          <w:lang w:eastAsia="ja-JP"/>
        </w:rPr>
        <w:t>6</w:t>
      </w:r>
      <w:r w:rsidRPr="00814189">
        <w:rPr>
          <w:rFonts w:cs="Times New Roman"/>
          <w:lang w:eastAsia="ja-JP"/>
        </w:rPr>
        <w:t xml:space="preserve">, </w:t>
      </w:r>
      <w:r w:rsidRPr="00814189">
        <w:rPr>
          <w:rFonts w:cs="Times New Roman"/>
          <w:color w:val="0000FF"/>
          <w:u w:val="single"/>
          <w:lang w:eastAsia="ja-JP"/>
        </w:rPr>
        <w:t>9</w:t>
      </w:r>
      <w:r w:rsidRPr="00814189">
        <w:rPr>
          <w:rFonts w:cs="Times New Roman"/>
          <w:lang w:eastAsia="ja-JP"/>
        </w:rPr>
        <w:t>).</w:t>
      </w:r>
    </w:p>
    <w:p w14:paraId="71FB0E04"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Yahweh’s hostility to horses and chariots bespeaks Yahweh’s hostility to the social system which requires, legitimates, and depends upon them. Israel, in its early period of tribal-peasant life, did not have horses and chariots and greatly feared them. The struggle reflected in </w:t>
      </w:r>
      <w:r w:rsidRPr="00814189">
        <w:rPr>
          <w:rFonts w:cs="Times New Roman"/>
          <w:color w:val="0000FF"/>
          <w:sz w:val="22"/>
          <w:u w:val="single"/>
          <w:lang w:eastAsia="ja-JP"/>
        </w:rPr>
        <w:t>Joshua 11</w:t>
      </w:r>
      <w:r w:rsidRPr="00814189">
        <w:rPr>
          <w:rFonts w:cs="Times New Roman"/>
          <w:sz w:val="22"/>
          <w:lang w:eastAsia="ja-JP"/>
        </w:rPr>
        <w:t xml:space="preserve"> is how this community, so vulnerable and helpless, can exist and function against the kings and their powerful tools of domination.</w:t>
      </w:r>
    </w:p>
    <w:p w14:paraId="4755B161"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In addition, Brueggemann argues that the tension between monopoly and liberated structures is observable in the narrative form itself, asserting:</w:t>
      </w:r>
    </w:p>
    <w:p w14:paraId="3D82AEE1"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The Bible is not content simply to describe the royal status quo which seems beyond challenge. The Bible also offers tales of liberation which show Israel challenging, countering and overcoming this formidable royal power. The narrative form lends itself to the articulation of another kind of power which the royal world neither knows nor credits. The narrative mode challenges royal rationality even as the narrative substance challenges royal policy … The different sociology of these texts needs to be correlated with the different mode of literary expression in which it is reported. Thus the positive assertion of royal power is characteristically reported in lists, inventories, and memos. By contrast, the alternative power of Yahweh does not come articulated in such controlled modes of expression, but in narratives of a playful kind which allow for surprise and inscrutability. The modes of power are matched to ways of speech and to the different epistemologies and rationalities practiced by the speech forms.</w:t>
      </w:r>
    </w:p>
    <w:p w14:paraId="597BC301"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 The contrast between the descriptions of royal domination and narratives of alternative forms of power reflects Israel’s alternative reading of the historical process … That is, the mode of discourse correlates with ways of reality and modes of power. How Israel speaks is related to what Israel trusts in and hopes for. That contrast between descriptive inventory and imaginative narrative leads to a warning that Israel should not imitate or be seduced by such royal modes of power (cf. </w:t>
      </w:r>
      <w:r w:rsidRPr="00814189">
        <w:rPr>
          <w:rFonts w:cs="Times New Roman"/>
          <w:color w:val="0000FF"/>
          <w:sz w:val="22"/>
          <w:u w:val="single"/>
          <w:lang w:eastAsia="ja-JP"/>
        </w:rPr>
        <w:t>Deut. 17:14–20</w:t>
      </w:r>
      <w:r w:rsidRPr="00814189">
        <w:rPr>
          <w:rFonts w:cs="Times New Roman"/>
          <w:sz w:val="22"/>
          <w:lang w:eastAsia="ja-JP"/>
        </w:rPr>
        <w:t>) or royal modes of communication … Israel knows it is not to emulate royal modes of power, knowledge, or language. Israel also knows that alternative modes of power, knowledge, and language are available which permit freedom and justice.</w:t>
      </w:r>
    </w:p>
    <w:p w14:paraId="7BF4F253"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If our analysis of the transmission code of </w:t>
      </w:r>
      <w:r w:rsidRPr="00814189">
        <w:rPr>
          <w:rFonts w:cs="Times New Roman"/>
          <w:color w:val="0000FF"/>
          <w:u w:val="single"/>
          <w:lang w:eastAsia="ja-JP"/>
        </w:rPr>
        <w:t>Joshua 9–12</w:t>
      </w:r>
      <w:r w:rsidRPr="00814189">
        <w:rPr>
          <w:rFonts w:cs="Times New Roman"/>
          <w:lang w:eastAsia="ja-JP"/>
        </w:rPr>
        <w:t xml:space="preserve"> is correct, then there are serious problems with Brueggemann’s assertions. The historical narrative in which </w:t>
      </w:r>
      <w:r w:rsidRPr="00814189">
        <w:rPr>
          <w:rFonts w:cs="Times New Roman"/>
          <w:color w:val="0000FF"/>
          <w:u w:val="single"/>
          <w:lang w:eastAsia="ja-JP"/>
        </w:rPr>
        <w:t>Joshua 9–12</w:t>
      </w:r>
      <w:r w:rsidRPr="00814189">
        <w:rPr>
          <w:rFonts w:cs="Times New Roman"/>
          <w:lang w:eastAsia="ja-JP"/>
        </w:rPr>
        <w:t xml:space="preserve"> is cast utilizes a common transmission code observable in numerous ancient Near Eastern conquest accounts, employing the same ideology. Since the ideology which lies behind the text of Joshua is one like that underlying other ancient Near Eastern conquest accounts—namely, imperialistic—, then ‘egalitarian, peasant’ Israel is employing a transmission code (a ‘communicative mode’) which is self-contradictory [This is, of course, assuming that Brueggemann is correct in his assertions concerning modes of communication].</w:t>
      </w:r>
    </w:p>
    <w:p w14:paraId="7F0148BE"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Finally, we see no reason to posit the type of interpretation to ‘horses and chariots’ that Brueggemann does. It is simply the result of the difference in technology which is here used to magnify YHWH’s (and thus Israel’s) victory over the Canaanite coalition. Not only did Israel win a victory over a much larger army, but also one which had superior military might. The phenomenon of one army being technically and/or numerically superior to another army is so common that one must wonder why such an interpretation would ever arise.</w:t>
      </w:r>
    </w:p>
    <w:p w14:paraId="6F50A51F"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The inscriptions of Seti I are very informative on this point. On the lowest register on the east side of the Great Hypostyle Court at Karnak the account of Seti’s first campaign northward is preserved in which he encountered the Shasu nomads in the Sinai and outside of Gaza. The Shasu are pictured ‘without chariots or horses and are armed with epsilon tangtype axes which may indicate the backward state of their military preparedness’. In another register which appears to be a continuation of the campaign, Seti is shown defeating the Canaanite enemy outside the city of Yenoam (located almost adjacent to the southern tip of the Sea of Galilee, east of the Jordan). The Canaanite enemy of Seti have ‘horses and chariots this time, evidence of military ability far superior to the Shasu’. In yet another register, Seti is pictured as fighting against the city of Kadesh. In this scene the Asiatics have horses and chariots too. But in a register containing the account of the Seti I’s Libyan war, the Libyans have no chariots or horses, and are likened ‘to jackals which spend the day in their holes, presumably stressing that the Libyans would only attack at night’. Thus the fact that an army lacked ‘chariots and horses’ was only an indication of its lack of military expertise, not YHWH’s ‘hostility to the social system which requires, legitimates, and depends upon them’.</w:t>
      </w:r>
    </w:p>
    <w:p w14:paraId="03DB7919"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In some conflicts, a weaker army may lose; in others it wins. There are many cases when an army of superior numbers and strategic position is defeated. For example, the Urartian king Rusa and his allies had superiority in numbers and position against Sargon and the Assyrians and lost; the Canaanites had the superior position against the Egyptians under Thutmose III at Megiddo and lost; and the Persians had numeric and technical superiority over the Greeks and lost. Natural phenomena and the element of surprise are very often the causes of decisive victories. Therefore, we hesitate to endorse Brueggeman’s interpretation which seems to build so much on so little.</w:t>
      </w:r>
    </w:p>
    <w:p w14:paraId="15C157AD"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While our reading effects most directly the ‘Peasant Revolt’ model of Israelite origins, it has implications for a number of other recent models in which Israel is indigenous to the land. These theories are usually based on archaeological evidence since the biblical data is considered to be very unreliable. Unfortunately, this conclusion is usually based on a superficial, literal reading of the text. The work of such scholars as Finkelstein, Lemche, Coote and Whitelam, and Callaway fall under this assessment.</w:t>
      </w:r>
    </w:p>
    <w:p w14:paraId="354D460A"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Thus, for example, Lemche considers the traditions of Israel’s early history to be so late in origin as to be useless for historical reconstruction: ‘… I propose that we decline to be led by the Biblical account and instead regard it, like other legendary materials, as essentially ahistorical, that is, as a source which only exceptionally can be verified by other information’. His alternative reconstruction is based entirely on what one can deduce from archaeological materials ‘of the social, economic, cultural and political developments in Palestine towards the close of the second millennium’. He feels that all of this indicates that there was a very gradual (re)tribalization process from the 14th century BC on and that Israel is the product of this evolutionary process.</w:t>
      </w:r>
    </w:p>
    <w:p w14:paraId="7084BE54"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Coote and Whitelam also explicitly reject the biblical narratives as a source for the reconstruction of Israel’s early history. Rather, the historian’s task is ‘to explain the archaeological record in the context of comparative history and anthropology’. The origin of Israel is to be found in the context of an economic decline which occurred at the end of the LBA, resulting from a breakdown of the interregional trade on which Canaan’s urban economy ultimately depended and spurred a combination of processes.</w:t>
      </w:r>
    </w:p>
    <w:p w14:paraId="2F868E68"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At this time, the settlement into villages in the hill country of various groups such as peasants, bandits, and pastoral nomads ‘was given political and incipient ethnic form in the loosely federated people calling themselves Israel’.</w:t>
      </w:r>
    </w:p>
    <w:p w14:paraId="58120937"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Without discussing the archaeological merits of the individual models, it becomes apparent that with the biblical text considered as secondary data, subjective archaeological reconstructions dominate. None of these hypothetical models give adequate account for the biblical traditions which are usually seen as late fabrications on the grounds of a literal reading!</w:t>
      </w:r>
    </w:p>
    <w:p w14:paraId="46F8703A"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Our study has shown that regardless of the text’s date of origin when it receives the same scrutiny as one would give any ancient text (e.g., Assyrian, Hittite, or Egyptian), the biblical text’s commonality with these other ancient accounts demands full consideration. And when this is done, one comes to a very different conclusion than these reconstructions!</w:t>
      </w:r>
    </w:p>
    <w:p w14:paraId="43F63477" w14:textId="77777777" w:rsidR="00814189" w:rsidRPr="00814189" w:rsidRDefault="00814189" w:rsidP="00814189">
      <w:pPr>
        <w:widowControl w:val="0"/>
        <w:autoSpaceDE w:val="0"/>
        <w:autoSpaceDN w:val="0"/>
        <w:adjustRightInd w:val="0"/>
        <w:spacing w:before="360"/>
        <w:jc w:val="center"/>
        <w:rPr>
          <w:rFonts w:cs="Times New Roman"/>
          <w:lang w:eastAsia="ja-JP"/>
        </w:rPr>
      </w:pPr>
      <w:r w:rsidRPr="00814189">
        <w:rPr>
          <w:rFonts w:cs="Times New Roman"/>
          <w:caps/>
          <w:sz w:val="28"/>
          <w:lang w:eastAsia="ja-JP"/>
        </w:rPr>
        <w:t>An entailment concerning ‘holy war’</w:t>
      </w:r>
    </w:p>
    <w:p w14:paraId="57479970"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Many of the terms and concepts of so-called ‘holy war’ which many biblical scholars have attributed to Israelite origin must be re-evaluated in light of a comparison with ancient Near Eastern conquest accounts. For example, ‘panic’, ‘terror’, or ‘fear’ are described by numerous biblical scholars as ‘the regular instruments of God in Holy War’. Gray tells us:</w:t>
      </w:r>
    </w:p>
    <w:p w14:paraId="70D64037"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Indeed most of the conflicts in the settlement of Israel in Palestine are represented as being settled by this psychological factor rather than by bitter hand-to-hand fighting.</w:t>
      </w:r>
    </w:p>
    <w:p w14:paraId="666A78B6"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And Butler states:</w:t>
      </w:r>
    </w:p>
    <w:p w14:paraId="1DA5CC57"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Yahweh sent the enemy into a panic before the unexpected reinforcements. This panic, Heb. </w:t>
      </w:r>
      <w:r w:rsidRPr="00814189">
        <w:rPr>
          <w:rFonts w:ascii="Myriad Hebrew Bold Italic" w:hAnsi="Myriad Hebrew Bold Italic" w:cs="Myriad Hebrew Bold Italic"/>
          <w:sz w:val="22"/>
          <w:szCs w:val="29"/>
          <w:rtl/>
          <w:lang w:eastAsia="ja-JP" w:bidi="he-IL"/>
        </w:rPr>
        <w:t>חמם</w:t>
      </w:r>
      <w:r w:rsidRPr="00814189">
        <w:rPr>
          <w:rFonts w:cs="Times New Roman"/>
          <w:sz w:val="22"/>
          <w:lang w:eastAsia="ja-JP"/>
        </w:rPr>
        <w:t xml:space="preserve"> is a technical term in holy war narratives, binding </w:t>
      </w:r>
      <w:r w:rsidRPr="00814189">
        <w:rPr>
          <w:rFonts w:cs="Times New Roman"/>
          <w:color w:val="0000FF"/>
          <w:sz w:val="22"/>
          <w:u w:val="single"/>
          <w:lang w:eastAsia="ja-JP"/>
        </w:rPr>
        <w:t>Exod 14</w:t>
      </w:r>
      <w:r w:rsidRPr="00814189">
        <w:rPr>
          <w:rFonts w:cs="Times New Roman"/>
          <w:sz w:val="22"/>
          <w:lang w:eastAsia="ja-JP"/>
        </w:rPr>
        <w:t xml:space="preserve">; </w:t>
      </w:r>
      <w:r w:rsidRPr="00814189">
        <w:rPr>
          <w:rFonts w:cs="Times New Roman"/>
          <w:color w:val="0000FF"/>
          <w:sz w:val="22"/>
          <w:u w:val="single"/>
          <w:lang w:eastAsia="ja-JP"/>
        </w:rPr>
        <w:t>Josh 10</w:t>
      </w:r>
      <w:r w:rsidRPr="00814189">
        <w:rPr>
          <w:rFonts w:cs="Times New Roman"/>
          <w:sz w:val="22"/>
          <w:lang w:eastAsia="ja-JP"/>
        </w:rPr>
        <w:t xml:space="preserve">; </w:t>
      </w:r>
      <w:r w:rsidRPr="00814189">
        <w:rPr>
          <w:rFonts w:cs="Times New Roman"/>
          <w:color w:val="0000FF"/>
          <w:sz w:val="22"/>
          <w:u w:val="single"/>
          <w:lang w:eastAsia="ja-JP"/>
        </w:rPr>
        <w:t>Judg 4</w:t>
      </w:r>
      <w:r w:rsidRPr="00814189">
        <w:rPr>
          <w:rFonts w:cs="Times New Roman"/>
          <w:sz w:val="22"/>
          <w:lang w:eastAsia="ja-JP"/>
        </w:rPr>
        <w:t xml:space="preserve">; and </w:t>
      </w:r>
      <w:r w:rsidRPr="00814189">
        <w:rPr>
          <w:rFonts w:cs="Times New Roman"/>
          <w:color w:val="0000FF"/>
          <w:sz w:val="22"/>
          <w:u w:val="single"/>
          <w:lang w:eastAsia="ja-JP"/>
        </w:rPr>
        <w:t>1 Sam 7</w:t>
      </w:r>
      <w:r w:rsidRPr="00814189">
        <w:rPr>
          <w:rFonts w:cs="Times New Roman"/>
          <w:sz w:val="22"/>
          <w:lang w:eastAsia="ja-JP"/>
        </w:rPr>
        <w:t xml:space="preserve"> together.</w:t>
      </w:r>
    </w:p>
    <w:p w14:paraId="7C9CE07F"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Along similar lines D.J. McCarthy studied the Hebrew term </w:t>
      </w:r>
      <w:r w:rsidRPr="00814189">
        <w:rPr>
          <w:rFonts w:ascii="Myriad Hebrew Bold Italic" w:hAnsi="Myriad Hebrew Bold Italic" w:cs="Myriad Hebrew Bold Italic"/>
          <w:szCs w:val="32"/>
          <w:rtl/>
          <w:lang w:eastAsia="ja-JP" w:bidi="he-IL"/>
        </w:rPr>
        <w:t>חפר</w:t>
      </w:r>
      <w:r w:rsidRPr="00814189">
        <w:rPr>
          <w:rFonts w:cs="Times New Roman"/>
          <w:lang w:eastAsia="ja-JP"/>
        </w:rPr>
        <w:t xml:space="preserve"> and stated:</w:t>
      </w:r>
    </w:p>
    <w:p w14:paraId="295D5F80"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it is suggestive that the word is so associated with things which inspire fear, one of the </w:t>
      </w:r>
      <w:r w:rsidRPr="00814189">
        <w:rPr>
          <w:rFonts w:cs="Times New Roman"/>
          <w:i/>
          <w:sz w:val="22"/>
          <w:lang w:eastAsia="ja-JP"/>
        </w:rPr>
        <w:t>essential</w:t>
      </w:r>
      <w:r w:rsidRPr="00814189">
        <w:rPr>
          <w:rFonts w:cs="Times New Roman"/>
          <w:sz w:val="22"/>
          <w:lang w:eastAsia="ja-JP"/>
        </w:rPr>
        <w:t xml:space="preserve"> elements in the theory of the holy war &lt;emphasis mine&gt;.</w:t>
      </w:r>
    </w:p>
    <w:p w14:paraId="7E25729C"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One cannot help but wonder why such scholars would argue that ‘fear’ and ‘panic’ are essential elements in ‘holy war’, when fear and panic are common in every war. The theme of panic, terror or fear which is brought upon the enemy by the national deity, just before or in the midst of the battle, is so common in ancient Near Eastern conquest accounts that we could quote </w:t>
      </w:r>
      <w:r w:rsidRPr="00814189">
        <w:rPr>
          <w:rFonts w:cs="Times New Roman"/>
          <w:i/>
          <w:lang w:eastAsia="ja-JP"/>
        </w:rPr>
        <w:t>ad nauseam</w:t>
      </w:r>
      <w:r w:rsidRPr="00814189">
        <w:rPr>
          <w:rFonts w:cs="Times New Roman"/>
          <w:lang w:eastAsia="ja-JP"/>
        </w:rPr>
        <w:t>. For instance, Thutmose III states that it was Amun-Re ‘who commanded these victories who gave the terror [of me …] … He put the fear of me in [all] foreign peoples’. In the Poetical Stela, Amun-Re‘ states to Thutmose (</w:t>
      </w:r>
      <w:r w:rsidRPr="00814189">
        <w:rPr>
          <w:rFonts w:cs="Times New Roman"/>
          <w:i/>
          <w:lang w:eastAsia="ja-JP"/>
        </w:rPr>
        <w:t>Urk</w:t>
      </w:r>
      <w:r w:rsidRPr="00814189">
        <w:rPr>
          <w:rFonts w:cs="Times New Roman"/>
          <w:lang w:eastAsia="ja-JP"/>
        </w:rPr>
        <w:t>. IV, 610.3–4, 9):</w:t>
      </w:r>
    </w:p>
    <w:p w14:paraId="7DAAC4F4"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I gave you valor and victory over all foreign lands. I placed your might (and) fear in all lands, the dread of you as far as heaven’s four supports. I magnified your awe in all bodies. I caused your majestic war-cry to traverse victoriously the Nine Bows. I caused the dread of your majesty to pervade their hearts.</w:t>
      </w:r>
    </w:p>
    <w:p w14:paraId="1B52AF44"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Thus M¸ller is correct when he states:</w:t>
      </w:r>
    </w:p>
    <w:p w14:paraId="4E1A8976"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When we come to consider the religious or theological significance of the idioms using the qal of </w:t>
      </w:r>
      <w:r w:rsidRPr="00814189">
        <w:rPr>
          <w:rFonts w:ascii="Myriad Hebrew Bold Italic" w:hAnsi="Myriad Hebrew Bold Italic" w:cs="Myriad Hebrew Bold Italic"/>
          <w:sz w:val="22"/>
          <w:szCs w:val="29"/>
          <w:rtl/>
          <w:lang w:eastAsia="ja-JP" w:bidi="he-IL"/>
        </w:rPr>
        <w:t>חמם</w:t>
      </w:r>
      <w:r w:rsidRPr="00814189">
        <w:rPr>
          <w:rFonts w:cs="Times New Roman"/>
          <w:sz w:val="22"/>
          <w:lang w:eastAsia="ja-JP"/>
        </w:rPr>
        <w:t xml:space="preserve">, we must conclude that there is nothing specifically biblical in the notion of military intervention on the part of the deity or in the motif of an ensuing panic. The </w:t>
      </w:r>
      <w:r w:rsidRPr="00814189">
        <w:rPr>
          <w:rFonts w:cs="Times New Roman"/>
          <w:i/>
          <w:sz w:val="22"/>
          <w:lang w:eastAsia="ja-JP"/>
        </w:rPr>
        <w:t>mysterium tremendum</w:t>
      </w:r>
      <w:r w:rsidRPr="00814189">
        <w:rPr>
          <w:rFonts w:cs="Times New Roman"/>
          <w:sz w:val="22"/>
          <w:lang w:eastAsia="ja-JP"/>
        </w:rPr>
        <w:t xml:space="preserve"> of the power sublimated in the deity everywhere evinces its destructive nature in battle, at the same time inspiring those fighting on the side of the deity with demonic frenzy.</w:t>
      </w:r>
    </w:p>
    <w:p w14:paraId="6B1851D3"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Thus we see no sound reason to understand ‘fear and panic’ as motifs which are unique to Israelite ‘holy war’.</w:t>
      </w:r>
    </w:p>
    <w:p w14:paraId="1F080351"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Some other typical thoughts about ‘holy war’ are seen in this discussion.</w:t>
      </w:r>
    </w:p>
    <w:p w14:paraId="1173F10D"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 xml:space="preserve">It seems much more likely that the account &lt;ch. </w:t>
      </w:r>
      <w:r w:rsidRPr="00814189">
        <w:rPr>
          <w:rFonts w:cs="Times New Roman"/>
          <w:color w:val="0000FF"/>
          <w:sz w:val="22"/>
          <w:u w:val="single"/>
          <w:lang w:eastAsia="ja-JP"/>
        </w:rPr>
        <w:t>6</w:t>
      </w:r>
      <w:r w:rsidRPr="00814189">
        <w:rPr>
          <w:rFonts w:cs="Times New Roman"/>
          <w:sz w:val="22"/>
          <w:lang w:eastAsia="ja-JP"/>
        </w:rPr>
        <w:t xml:space="preserve">—destruction of Jericho&gt; has been shaped to a great extent by the institution and ideas of the holy war. (For laws concerning such warfare, see </w:t>
      </w:r>
      <w:r w:rsidRPr="00814189">
        <w:rPr>
          <w:rFonts w:cs="Times New Roman"/>
          <w:color w:val="0000FF"/>
          <w:sz w:val="22"/>
          <w:u w:val="single"/>
          <w:lang w:eastAsia="ja-JP"/>
        </w:rPr>
        <w:t>Deut. 20</w:t>
      </w:r>
      <w:r w:rsidRPr="00814189">
        <w:rPr>
          <w:rFonts w:cs="Times New Roman"/>
          <w:sz w:val="22"/>
          <w:lang w:eastAsia="ja-JP"/>
        </w:rPr>
        <w:t xml:space="preserve">). In the holy war, no battle could begin without religious ceremonies in which the will of God was determined and the army consecrated. The soldiers were not professionals but ordinary Israelite men summoned to fight by the sound of the trumpet; their leader had to be called by the LORD. The presence of the LORD at the head of the army was often symbolized by the Ark. While the enemies trembled before the army (cp. </w:t>
      </w:r>
      <w:r w:rsidRPr="00814189">
        <w:rPr>
          <w:rFonts w:cs="Times New Roman"/>
          <w:color w:val="0000FF"/>
          <w:sz w:val="22"/>
          <w:u w:val="single"/>
          <w:lang w:eastAsia="ja-JP"/>
        </w:rPr>
        <w:t>2:9</w:t>
      </w:r>
      <w:r w:rsidRPr="00814189">
        <w:rPr>
          <w:rFonts w:cs="Times New Roman"/>
          <w:sz w:val="22"/>
          <w:lang w:eastAsia="ja-JP"/>
        </w:rPr>
        <w:t xml:space="preserve">; </w:t>
      </w:r>
      <w:r w:rsidRPr="00814189">
        <w:rPr>
          <w:rFonts w:cs="Times New Roman"/>
          <w:color w:val="0000FF"/>
          <w:sz w:val="22"/>
          <w:u w:val="single"/>
          <w:lang w:eastAsia="ja-JP"/>
        </w:rPr>
        <w:t>5:1</w:t>
      </w:r>
      <w:r w:rsidRPr="00814189">
        <w:rPr>
          <w:rFonts w:cs="Times New Roman"/>
          <w:sz w:val="22"/>
          <w:lang w:eastAsia="ja-JP"/>
        </w:rPr>
        <w:t>), the Israelites were encouraged to stand firm and have no fear. The victory was usually accomplished by a miracle accompanied by a war-cry; the enemy was thrown into panic. All the spoils of battle belonged to the LORD; except in special circumstances (for example, the agreement with Rahab) all living things were to be killed and all property destroyed except what was taken to the LORD’s treasury. While it is not always possible to separate historical fact from theological ideas in the holy-war traditions, it is known that such stories reflect a military institution (with non-professional soldiers and divinely ordained leaders) which was practised in the period before the monarchy. Some features of the institution were revived for a time by Josiah (640–609 B.C.).</w:t>
      </w:r>
    </w:p>
    <w:p w14:paraId="27F34329"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But is this really the case in light of our comparison? In the ancient Near East (for that matter, for the vast part of history), religious ceremonies in which the will of God was determined and the army consecrated were performed. In Assyria, divination would often determine whether a campaign would even take place and also why a particular outcome had occurred. The king of each country was chosen by the deity to lead the nation in its wars (eg. Esarhaddon, Hattušili III, etc.). The presence of the deity was often at the head of the army. Moreover, in Assyria the ‘weapon of Aššur’ was probably some sort of standard which represented the god. The enemy was usually ‘afraid’ of the on-coming army and, as shown in the previous chapter, divine intervention was not unusual. The panic-stricken flight of the enemy was a common motif in the ancient Near Eastern conquest account (very few lack it). Thus we must object to this way of defining ‘holy war’.</w:t>
      </w:r>
    </w:p>
    <w:p w14:paraId="3A6441A7"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Butler, however, argues that pursuit is not only a motif of holy war, but that it is the theme around which the Compiler has tied all his varied material. One must wonder how a motif of pursuit is in any way an indication that the account narrates ‘a holy war’ as opposed to a ‘secular war’.</w:t>
      </w:r>
    </w:p>
    <w:p w14:paraId="333781A1"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With regard to ‘holy wars’ in the ancient Near East (in particular those of Assyria), H. Tadmor has very perceptively recognized and stated:</w:t>
      </w:r>
    </w:p>
    <w:p w14:paraId="7374CEC8"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Every war of Assyria, led by her monarch—and in theory the high priest of Ashur—was on a theological as well as on a practical-cultic level a ‘holy war’, ordered by Ashur and approved by oracles, celestial and terrestrial. A defeat of ‘Assyria’s (or Ashur’s) mighty armies’—to use the ideological clichÈ of the period—was rendered in the traditional terms of theodicy: either the oracles must have been misinterpreted—and some astrologer or haruspex would pay dearly—or the king must have committed some cultic offence to incur the divine wrath. How else could Ashur’s armies, headed by the king, an eternal victor, be overcome by the distant Nubians?</w:t>
      </w:r>
    </w:p>
    <w:p w14:paraId="632DD1EE"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And H.E. von Waldow concludes:</w:t>
      </w:r>
    </w:p>
    <w:p w14:paraId="6FDB7A4A"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The question is: Did ancient Israel really know the category of holy wars as opposed to other wars that were not holy? The answer should be no.</w:t>
      </w:r>
    </w:p>
    <w:p w14:paraId="51EF5920"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Therefore, we follow Craigie in advocating that in the description of certain wars in the biblical narrative the label ‘holy war’ is best not employed. There is a need for a complete rethinking on this subject.</w:t>
      </w:r>
    </w:p>
    <w:p w14:paraId="663AFE5C" w14:textId="77777777" w:rsidR="00814189" w:rsidRPr="00814189" w:rsidRDefault="00814189" w:rsidP="00814189">
      <w:pPr>
        <w:widowControl w:val="0"/>
        <w:autoSpaceDE w:val="0"/>
        <w:autoSpaceDN w:val="0"/>
        <w:adjustRightInd w:val="0"/>
        <w:spacing w:before="360"/>
        <w:jc w:val="center"/>
        <w:rPr>
          <w:rFonts w:cs="Times New Roman"/>
          <w:lang w:eastAsia="ja-JP"/>
        </w:rPr>
      </w:pPr>
      <w:r w:rsidRPr="00814189">
        <w:rPr>
          <w:rFonts w:cs="Times New Roman"/>
          <w:caps/>
          <w:sz w:val="28"/>
          <w:lang w:eastAsia="ja-JP"/>
        </w:rPr>
        <w:t>Other entailments</w:t>
      </w:r>
    </w:p>
    <w:p w14:paraId="003CF22E"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 xml:space="preserve">Our study has ramifications for the interpretation of the text of Joshua. For example, E.J. Hamlin has recently made a number of assertions concerning the nature or kind of writing used in </w:t>
      </w:r>
      <w:r w:rsidRPr="00814189">
        <w:rPr>
          <w:rFonts w:cs="Times New Roman"/>
          <w:color w:val="0000FF"/>
          <w:u w:val="single"/>
          <w:lang w:eastAsia="ja-JP"/>
        </w:rPr>
        <w:t>Joshua 10:28–39</w:t>
      </w:r>
      <w:r w:rsidRPr="00814189">
        <w:rPr>
          <w:rFonts w:cs="Times New Roman"/>
          <w:lang w:eastAsia="ja-JP"/>
        </w:rPr>
        <w:t>. Two of these are:</w:t>
      </w:r>
    </w:p>
    <w:p w14:paraId="3D23919F"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(1) The stereotyped expressions already referred to in the descriptions of the conquest of each of the six cities indicate a symbolic, theological kind of writing, rather than factual reporting.</w:t>
      </w:r>
    </w:p>
    <w:p w14:paraId="18966279" w14:textId="77777777" w:rsidR="00814189" w:rsidRPr="00814189" w:rsidRDefault="00814189" w:rsidP="00814189">
      <w:pPr>
        <w:widowControl w:val="0"/>
        <w:autoSpaceDE w:val="0"/>
        <w:autoSpaceDN w:val="0"/>
        <w:adjustRightInd w:val="0"/>
        <w:ind w:left="720" w:right="360"/>
        <w:rPr>
          <w:rFonts w:cs="Times New Roman"/>
          <w:lang w:eastAsia="ja-JP"/>
        </w:rPr>
      </w:pPr>
      <w:r w:rsidRPr="00814189">
        <w:rPr>
          <w:rFonts w:cs="Times New Roman"/>
          <w:sz w:val="22"/>
          <w:lang w:eastAsia="ja-JP"/>
        </w:rPr>
        <w:t>(2) The lack of any report of casualties on the Israelite side, or survivors on the Amorite side, suggests that we are dealing with teaching material rather than a careful report of the actual battles.</w:t>
      </w:r>
    </w:p>
    <w:p w14:paraId="5C4C786C"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Hamlin has obviously missed the mark. The reading of one ancient Near Eastern conquest account would have quickly shown Hamlin the errors in his statements.</w:t>
      </w:r>
    </w:p>
    <w:p w14:paraId="7CB4B779"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First, the syntagmic patterning which Hamlin calls ‘stereotyped expressions’ hardly indicates ‘a symbolic, theological kind of writing’. Our study has shown that numerous ancient Near Eastern texts exhibit this phenomenon because it is an important component in the transmission code which they employ. One would hardly label such texts (as for example, Tiglath-Pileser’s Annals) ‘symbolic, theological writing’. This would be absurd! Since the text in Joshua utilizes the same code, it is equally fatuous to brand it as ‘a symbolic, theological kind of writing’.</w:t>
      </w:r>
    </w:p>
    <w:p w14:paraId="3BEFA0E8"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Second, in the ancient Near Eastern conquest accounts, reports of casualties within one’s own army are rare. Numbers for such groups as the dead or prisoners of the enemy are more often included than the survivors (although the group ‘survivors’ does occur). Furthermore, it is very common in the these texts to describe the total annihilation of the enemy. Thus, Hamlin has no grounds whatever to conclude that this is ‘teaching material’. To tag these verses of Joshua with such a phrase is very inane.</w:t>
      </w:r>
    </w:p>
    <w:p w14:paraId="72FCB92C"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Another entailment of our study concerns the date of composition for these chapters of Joshua. Through motif comparison, Van Seters has recently argued that the book of Joshua was modelled after ancient Near Eastern inscriptions, particularly the Assyrian royal inscriptions so that one can conclude that it is the product of the Deuteronomist at a very late stage as a fabrication to explain ‘how the people got into the land’. While there is abundant evidence for a common ancient Near Eastern transmission code for conquest accounts (as we have been arguing throughout), evidence is not sufficient to allow for the dating of documents by this criterion.</w:t>
      </w:r>
    </w:p>
    <w:p w14:paraId="6458C578"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Van Seters lists a number of common motifs: a confident inspiring oracle, the crossing of a river (at flood), a few major battles given, capture and execution of kings, terror and fear of Assyria—foreign people submitting, coalitions of foreign lands, repopulation of conquered regions, summary, Hatti-land (as a designation of Syria-Palestine), and omens (esp. positions of heavenly bodies). Van Seters argues that since the majority of these are encountered in the </w:t>
      </w:r>
      <w:r w:rsidRPr="00814189">
        <w:rPr>
          <w:rFonts w:cs="Times New Roman"/>
          <w:i/>
          <w:lang w:eastAsia="ja-JP"/>
        </w:rPr>
        <w:t>late</w:t>
      </w:r>
      <w:r w:rsidRPr="00814189">
        <w:rPr>
          <w:rFonts w:cs="Times New Roman"/>
          <w:lang w:eastAsia="ja-JP"/>
        </w:rPr>
        <w:t xml:space="preserve"> Neo-Assyrian royal inscriptions, therefore the Joshua material is late and highly fabricated.</w:t>
      </w:r>
    </w:p>
    <w:p w14:paraId="3C9C696E"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But is it really possible to date texts on the basis of common motifs? This must be deemed a very difficult procedure since there are no controls on determining the </w:t>
      </w:r>
      <w:r w:rsidRPr="00814189">
        <w:rPr>
          <w:rFonts w:cs="Times New Roman"/>
          <w:i/>
          <w:lang w:eastAsia="ja-JP"/>
        </w:rPr>
        <w:t>terminus a quo</w:t>
      </w:r>
      <w:r w:rsidRPr="00814189">
        <w:rPr>
          <w:rFonts w:cs="Times New Roman"/>
          <w:lang w:eastAsia="ja-JP"/>
        </w:rPr>
        <w:t xml:space="preserve"> and the </w:t>
      </w:r>
      <w:r w:rsidRPr="00814189">
        <w:rPr>
          <w:rFonts w:cs="Times New Roman"/>
          <w:i/>
          <w:lang w:eastAsia="ja-JP"/>
        </w:rPr>
        <w:t>terminus ad quem</w:t>
      </w:r>
      <w:r w:rsidRPr="00814189">
        <w:rPr>
          <w:rFonts w:cs="Times New Roman"/>
          <w:lang w:eastAsia="ja-JP"/>
        </w:rPr>
        <w:t xml:space="preserve"> for the use of such motifs in one culture let alone establishing their use in another culture. Moreover, most of these ‘motifs’ occur in earlier texts or can easily be explained as West Semitic influence (Aramaization) in the Assyrian royal inscriptions.</w:t>
      </w:r>
    </w:p>
    <w:p w14:paraId="57857CD2"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For example, crossing a river at flood stage is first found in the Annals of Aššur-nasir-apIi II (883–859 B.C.):</w:t>
      </w:r>
    </w:p>
    <w:p w14:paraId="371278A7"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I moved on from the land of Bit-Adini; (and) I crossed the Euphrates, which was in flood, in rafts (made of inflated) goat-skins.</w:t>
      </w:r>
    </w:p>
    <w:p w14:paraId="5AAB7BE1"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It is also found numerous times in the inscriptions of Shalmaneser III. It is found in an inscription of Samsi-Adad V; and it is found in an inscription of Adad-nirari III which states:</w:t>
      </w:r>
    </w:p>
    <w:p w14:paraId="7FBC3F13" w14:textId="77777777" w:rsidR="00814189" w:rsidRPr="00814189" w:rsidRDefault="00814189" w:rsidP="00814189">
      <w:pPr>
        <w:widowControl w:val="0"/>
        <w:autoSpaceDE w:val="0"/>
        <w:autoSpaceDN w:val="0"/>
        <w:adjustRightInd w:val="0"/>
        <w:spacing w:before="180"/>
        <w:ind w:left="720" w:right="360"/>
        <w:rPr>
          <w:rFonts w:cs="Times New Roman"/>
          <w:lang w:eastAsia="ja-JP"/>
        </w:rPr>
      </w:pPr>
      <w:r w:rsidRPr="00814189">
        <w:rPr>
          <w:rFonts w:cs="Times New Roman"/>
          <w:sz w:val="22"/>
          <w:lang w:eastAsia="ja-JP"/>
        </w:rPr>
        <w:t>I ordered to march to the land of Hatti. I crossed the Euphrates in its flood.</w:t>
      </w:r>
    </w:p>
    <w:p w14:paraId="73CCC205" w14:textId="77777777" w:rsidR="00814189" w:rsidRPr="00814189" w:rsidRDefault="00814189" w:rsidP="00814189">
      <w:pPr>
        <w:widowControl w:val="0"/>
        <w:autoSpaceDE w:val="0"/>
        <w:autoSpaceDN w:val="0"/>
        <w:adjustRightInd w:val="0"/>
        <w:spacing w:before="180"/>
        <w:ind w:firstLine="360"/>
        <w:rPr>
          <w:rFonts w:cs="Times New Roman"/>
          <w:lang w:eastAsia="ja-JP"/>
        </w:rPr>
      </w:pPr>
      <w:r w:rsidRPr="00814189">
        <w:rPr>
          <w:rFonts w:cs="Times New Roman"/>
          <w:lang w:eastAsia="ja-JP"/>
        </w:rPr>
        <w:t>Lastly, it occurs numerous times in the inscriptions of Sargon II, Esarhaddon, and Aššurbanipal. Thus—in just the Assyrian Annals—one can trace the motif of crossing a river at flood stage throughout the period 883–645 B.C. But, the motif can also be seen in the historical writings of other cultures. For example, in both the Karnak and Memphis Stelae of Amenhotep II, the king crossed the ‘turbulent’ Orontes River. These narratives are based on the war diary of Amenhotep II:</w:t>
      </w:r>
    </w:p>
    <w:tbl>
      <w:tblPr>
        <w:tblW w:w="0" w:type="auto"/>
        <w:tblLayout w:type="fixed"/>
        <w:tblCellMar>
          <w:left w:w="0" w:type="dxa"/>
          <w:right w:w="0" w:type="dxa"/>
        </w:tblCellMar>
        <w:tblLook w:val="0000" w:firstRow="0" w:lastRow="0" w:firstColumn="0" w:lastColumn="0" w:noHBand="0" w:noVBand="0"/>
      </w:tblPr>
      <w:tblGrid>
        <w:gridCol w:w="4320"/>
        <w:gridCol w:w="4320"/>
      </w:tblGrid>
      <w:tr w:rsidR="00814189" w:rsidRPr="00814189" w14:paraId="0980928E" w14:textId="77777777">
        <w:tblPrEx>
          <w:tblCellMar>
            <w:top w:w="0" w:type="dxa"/>
            <w:left w:w="0" w:type="dxa"/>
            <w:bottom w:w="0" w:type="dxa"/>
            <w:right w:w="0" w:type="dxa"/>
          </w:tblCellMar>
        </w:tblPrEx>
        <w:tc>
          <w:tcPr>
            <w:tcW w:w="4320" w:type="dxa"/>
            <w:tcBorders>
              <w:top w:val="nil"/>
              <w:left w:val="nil"/>
              <w:bottom w:val="nil"/>
              <w:right w:val="nil"/>
            </w:tcBorders>
          </w:tcPr>
          <w:p w14:paraId="113C3F6B"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lang w:eastAsia="ja-JP"/>
              </w:rPr>
              <w:t>’bd 1 šmw sw 26 ḏ’t ḥm.f mšdt</w:t>
            </w:r>
          </w:p>
          <w:p w14:paraId="4F599A40" w14:textId="77777777" w:rsidR="00814189" w:rsidRPr="00814189" w:rsidRDefault="00814189" w:rsidP="00814189">
            <w:pPr>
              <w:widowControl w:val="0"/>
              <w:autoSpaceDE w:val="0"/>
              <w:autoSpaceDN w:val="0"/>
              <w:adjustRightInd w:val="0"/>
              <w:rPr>
                <w:rFonts w:cs="Times New Roman"/>
                <w:lang w:eastAsia="ja-JP"/>
              </w:rPr>
            </w:pPr>
          </w:p>
        </w:tc>
        <w:tc>
          <w:tcPr>
            <w:tcW w:w="4320" w:type="dxa"/>
            <w:tcBorders>
              <w:top w:val="nil"/>
              <w:left w:val="nil"/>
              <w:bottom w:val="nil"/>
              <w:right w:val="nil"/>
            </w:tcBorders>
          </w:tcPr>
          <w:p w14:paraId="3B7F73CC"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lang w:eastAsia="ja-JP"/>
              </w:rPr>
              <w:t>’lrnṯ m hrw pn</w:t>
            </w:r>
          </w:p>
          <w:p w14:paraId="238A3E31" w14:textId="77777777" w:rsidR="00814189" w:rsidRPr="00814189" w:rsidRDefault="00814189" w:rsidP="00814189">
            <w:pPr>
              <w:widowControl w:val="0"/>
              <w:autoSpaceDE w:val="0"/>
              <w:autoSpaceDN w:val="0"/>
              <w:adjustRightInd w:val="0"/>
              <w:rPr>
                <w:rFonts w:cs="Times New Roman"/>
                <w:lang w:eastAsia="ja-JP"/>
              </w:rPr>
            </w:pPr>
          </w:p>
        </w:tc>
      </w:tr>
      <w:tr w:rsidR="00814189" w:rsidRPr="00814189" w14:paraId="281F0925" w14:textId="77777777">
        <w:tblPrEx>
          <w:tblCellMar>
            <w:top w:w="0" w:type="dxa"/>
            <w:left w:w="0" w:type="dxa"/>
            <w:bottom w:w="0" w:type="dxa"/>
            <w:right w:w="0" w:type="dxa"/>
          </w:tblCellMar>
        </w:tblPrEx>
        <w:tc>
          <w:tcPr>
            <w:tcW w:w="4320" w:type="dxa"/>
            <w:tcBorders>
              <w:top w:val="nil"/>
              <w:left w:val="nil"/>
              <w:bottom w:val="nil"/>
              <w:right w:val="nil"/>
            </w:tcBorders>
          </w:tcPr>
          <w:p w14:paraId="24830045" w14:textId="77777777" w:rsidR="00814189" w:rsidRPr="00814189" w:rsidRDefault="00814189" w:rsidP="00814189">
            <w:pPr>
              <w:widowControl w:val="0"/>
              <w:autoSpaceDE w:val="0"/>
              <w:autoSpaceDN w:val="0"/>
              <w:adjustRightInd w:val="0"/>
              <w:ind w:left="720"/>
              <w:rPr>
                <w:rFonts w:cs="Times New Roman"/>
                <w:lang w:eastAsia="ja-JP"/>
              </w:rPr>
            </w:pPr>
            <w:r w:rsidRPr="00814189">
              <w:rPr>
                <w:rFonts w:cs="Times New Roman"/>
                <w:i/>
                <w:lang w:eastAsia="ja-JP"/>
              </w:rPr>
              <w:t>st ḏ’.n [ḥm.f mšsdt] ’Ir[nt]w</w:t>
            </w:r>
          </w:p>
          <w:p w14:paraId="50AE10C3" w14:textId="77777777" w:rsidR="00814189" w:rsidRPr="00814189" w:rsidRDefault="00814189" w:rsidP="00814189">
            <w:pPr>
              <w:widowControl w:val="0"/>
              <w:autoSpaceDE w:val="0"/>
              <w:autoSpaceDN w:val="0"/>
              <w:adjustRightInd w:val="0"/>
              <w:ind w:left="720"/>
              <w:rPr>
                <w:rFonts w:cs="Times New Roman"/>
                <w:lang w:eastAsia="ja-JP"/>
              </w:rPr>
            </w:pPr>
          </w:p>
        </w:tc>
        <w:tc>
          <w:tcPr>
            <w:tcW w:w="4320" w:type="dxa"/>
            <w:tcBorders>
              <w:top w:val="nil"/>
              <w:left w:val="nil"/>
              <w:bottom w:val="nil"/>
              <w:right w:val="nil"/>
            </w:tcBorders>
          </w:tcPr>
          <w:p w14:paraId="40C5DD6F"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lang w:eastAsia="ja-JP"/>
              </w:rPr>
              <w:t>ḥr ḫtr m hsmk mi pḥty Mnṯw W’sty</w:t>
            </w:r>
          </w:p>
          <w:p w14:paraId="01CCC7F1" w14:textId="77777777" w:rsidR="00814189" w:rsidRPr="00814189" w:rsidRDefault="00814189" w:rsidP="00814189">
            <w:pPr>
              <w:widowControl w:val="0"/>
              <w:autoSpaceDE w:val="0"/>
              <w:autoSpaceDN w:val="0"/>
              <w:adjustRightInd w:val="0"/>
              <w:rPr>
                <w:rFonts w:cs="Times New Roman"/>
                <w:lang w:eastAsia="ja-JP"/>
              </w:rPr>
            </w:pPr>
          </w:p>
        </w:tc>
      </w:tr>
    </w:tbl>
    <w:p w14:paraId="49AEAACF" w14:textId="77777777" w:rsidR="00814189" w:rsidRPr="00814189" w:rsidRDefault="00814189" w:rsidP="00814189">
      <w:pPr>
        <w:widowControl w:val="0"/>
        <w:autoSpaceDE w:val="0"/>
        <w:autoSpaceDN w:val="0"/>
        <w:adjustRightInd w:val="0"/>
        <w:spacing w:before="180"/>
        <w:ind w:left="360"/>
        <w:rPr>
          <w:rFonts w:cs="Times New Roman"/>
          <w:lang w:eastAsia="ja-JP"/>
        </w:rPr>
      </w:pPr>
      <w:r w:rsidRPr="00814189">
        <w:rPr>
          <w:rFonts w:cs="Times New Roman"/>
          <w:color w:val="0000FF"/>
          <w:sz w:val="22"/>
          <w:u w:val="single"/>
          <w:lang w:eastAsia="ja-JP"/>
        </w:rPr>
        <w:t>10:26</w:t>
      </w:r>
      <w:r w:rsidRPr="00814189">
        <w:rPr>
          <w:rFonts w:cs="Times New Roman"/>
          <w:sz w:val="22"/>
          <w:lang w:eastAsia="ja-JP"/>
        </w:rPr>
        <w:t>: The crossing by his majesty of the Orontes Ford on this day.</w:t>
      </w:r>
    </w:p>
    <w:p w14:paraId="4CDB93ED" w14:textId="77777777" w:rsidR="00814189" w:rsidRPr="00814189" w:rsidRDefault="00814189" w:rsidP="00814189">
      <w:pPr>
        <w:widowControl w:val="0"/>
        <w:autoSpaceDE w:val="0"/>
        <w:autoSpaceDN w:val="0"/>
        <w:adjustRightInd w:val="0"/>
        <w:ind w:left="360"/>
        <w:rPr>
          <w:rFonts w:cs="Times New Roman"/>
          <w:lang w:eastAsia="ja-JP"/>
        </w:rPr>
      </w:pPr>
      <w:r w:rsidRPr="00814189">
        <w:rPr>
          <w:rFonts w:cs="Times New Roman"/>
          <w:sz w:val="22"/>
          <w:lang w:eastAsia="ja-JP"/>
        </w:rPr>
        <w:t>Now [his majesty] crossed the Or[ontes Ford] on a horse in turbulence like the strength of Montu the Theban.</w:t>
      </w:r>
    </w:p>
    <w:tbl>
      <w:tblPr>
        <w:tblW w:w="0" w:type="auto"/>
        <w:tblLayout w:type="fixed"/>
        <w:tblCellMar>
          <w:left w:w="0" w:type="dxa"/>
          <w:right w:w="0" w:type="dxa"/>
        </w:tblCellMar>
        <w:tblLook w:val="0000" w:firstRow="0" w:lastRow="0" w:firstColumn="0" w:lastColumn="0" w:noHBand="0" w:noVBand="0"/>
      </w:tblPr>
      <w:tblGrid>
        <w:gridCol w:w="4320"/>
        <w:gridCol w:w="4320"/>
      </w:tblGrid>
      <w:tr w:rsidR="00814189" w:rsidRPr="00814189" w14:paraId="4FD7A6A2" w14:textId="77777777">
        <w:tblPrEx>
          <w:tblCellMar>
            <w:top w:w="0" w:type="dxa"/>
            <w:left w:w="0" w:type="dxa"/>
            <w:bottom w:w="0" w:type="dxa"/>
            <w:right w:w="0" w:type="dxa"/>
          </w:tblCellMar>
        </w:tblPrEx>
        <w:tc>
          <w:tcPr>
            <w:tcW w:w="4320" w:type="dxa"/>
            <w:tcBorders>
              <w:top w:val="nil"/>
              <w:left w:val="nil"/>
              <w:bottom w:val="nil"/>
              <w:right w:val="nil"/>
            </w:tcBorders>
          </w:tcPr>
          <w:p w14:paraId="1EC6C4F0"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lang w:eastAsia="ja-JP"/>
              </w:rPr>
              <w:t>ḏ’.n ḥm.f ’Irntw</w:t>
            </w:r>
          </w:p>
          <w:p w14:paraId="4A7DFCDC" w14:textId="77777777" w:rsidR="00814189" w:rsidRPr="00814189" w:rsidRDefault="00814189" w:rsidP="00814189">
            <w:pPr>
              <w:widowControl w:val="0"/>
              <w:autoSpaceDE w:val="0"/>
              <w:autoSpaceDN w:val="0"/>
              <w:adjustRightInd w:val="0"/>
              <w:rPr>
                <w:rFonts w:cs="Times New Roman"/>
                <w:lang w:eastAsia="ja-JP"/>
              </w:rPr>
            </w:pPr>
          </w:p>
        </w:tc>
        <w:tc>
          <w:tcPr>
            <w:tcW w:w="4320" w:type="dxa"/>
            <w:tcBorders>
              <w:top w:val="nil"/>
              <w:left w:val="nil"/>
              <w:bottom w:val="nil"/>
              <w:right w:val="nil"/>
            </w:tcBorders>
          </w:tcPr>
          <w:p w14:paraId="5E5A5D4F" w14:textId="77777777" w:rsidR="00814189" w:rsidRPr="00814189" w:rsidRDefault="00814189" w:rsidP="00814189">
            <w:pPr>
              <w:widowControl w:val="0"/>
              <w:autoSpaceDE w:val="0"/>
              <w:autoSpaceDN w:val="0"/>
              <w:adjustRightInd w:val="0"/>
              <w:rPr>
                <w:rFonts w:cs="Times New Roman"/>
                <w:lang w:eastAsia="ja-JP"/>
              </w:rPr>
            </w:pPr>
            <w:r w:rsidRPr="00814189">
              <w:rPr>
                <w:rFonts w:cs="Times New Roman"/>
                <w:i/>
                <w:lang w:eastAsia="ja-JP"/>
              </w:rPr>
              <w:t>ḥr mwm hsmk mi Ršp</w:t>
            </w:r>
          </w:p>
          <w:p w14:paraId="4BBA944A" w14:textId="77777777" w:rsidR="00814189" w:rsidRPr="00814189" w:rsidRDefault="00814189" w:rsidP="00814189">
            <w:pPr>
              <w:widowControl w:val="0"/>
              <w:autoSpaceDE w:val="0"/>
              <w:autoSpaceDN w:val="0"/>
              <w:adjustRightInd w:val="0"/>
              <w:rPr>
                <w:rFonts w:cs="Times New Roman"/>
                <w:lang w:eastAsia="ja-JP"/>
              </w:rPr>
            </w:pPr>
          </w:p>
        </w:tc>
      </w:tr>
    </w:tbl>
    <w:p w14:paraId="1F208732" w14:textId="77777777" w:rsidR="00814189" w:rsidRPr="00814189" w:rsidRDefault="00814189" w:rsidP="00814189">
      <w:pPr>
        <w:widowControl w:val="0"/>
        <w:autoSpaceDE w:val="0"/>
        <w:autoSpaceDN w:val="0"/>
        <w:adjustRightInd w:val="0"/>
        <w:spacing w:before="180"/>
        <w:ind w:left="360"/>
        <w:rPr>
          <w:rFonts w:cs="Times New Roman"/>
          <w:lang w:eastAsia="ja-JP"/>
        </w:rPr>
      </w:pPr>
      <w:r w:rsidRPr="00814189">
        <w:rPr>
          <w:rFonts w:cs="Times New Roman"/>
          <w:sz w:val="22"/>
          <w:lang w:eastAsia="ja-JP"/>
        </w:rPr>
        <w:t>it was upon the turbulent water that his majesty crossed the Orontes like Reshep.</w:t>
      </w:r>
    </w:p>
    <w:p w14:paraId="3DEF43AF" w14:textId="77777777" w:rsidR="00814189" w:rsidRPr="00814189" w:rsidRDefault="00814189" w:rsidP="00814189">
      <w:pPr>
        <w:widowControl w:val="0"/>
        <w:autoSpaceDE w:val="0"/>
        <w:autoSpaceDN w:val="0"/>
        <w:adjustRightInd w:val="0"/>
        <w:spacing w:before="180"/>
        <w:rPr>
          <w:rFonts w:cs="Times New Roman"/>
          <w:lang w:eastAsia="ja-JP"/>
        </w:rPr>
      </w:pPr>
      <w:r w:rsidRPr="00814189">
        <w:rPr>
          <w:rFonts w:cs="Times New Roman"/>
          <w:lang w:eastAsia="ja-JP"/>
        </w:rPr>
        <w:t>Therefore, from the evidence presented here, it is apparent that the use of this motif for dating purposes is unjustified.</w:t>
      </w:r>
    </w:p>
    <w:p w14:paraId="1F046518" w14:textId="77777777" w:rsidR="00814189" w:rsidRPr="00814189" w:rsidRDefault="00814189" w:rsidP="00814189">
      <w:pPr>
        <w:widowControl w:val="0"/>
        <w:autoSpaceDE w:val="0"/>
        <w:autoSpaceDN w:val="0"/>
        <w:adjustRightInd w:val="0"/>
        <w:ind w:firstLine="360"/>
        <w:rPr>
          <w:rFonts w:cs="Times New Roman"/>
          <w:lang w:eastAsia="ja-JP"/>
        </w:rPr>
      </w:pPr>
      <w:r w:rsidRPr="00814189">
        <w:rPr>
          <w:rFonts w:cs="Times New Roman"/>
          <w:lang w:eastAsia="ja-JP"/>
        </w:rPr>
        <w:t xml:space="preserve">On the basis of our study, it seems that it is only possible to date the composition of the conquest account in </w:t>
      </w:r>
      <w:r w:rsidRPr="00814189">
        <w:rPr>
          <w:rFonts w:cs="Times New Roman"/>
          <w:color w:val="0000FF"/>
          <w:u w:val="single"/>
          <w:lang w:eastAsia="ja-JP"/>
        </w:rPr>
        <w:t>Joshua 9–12</w:t>
      </w:r>
      <w:r w:rsidRPr="00814189">
        <w:rPr>
          <w:rFonts w:cs="Times New Roman"/>
          <w:lang w:eastAsia="ja-JP"/>
        </w:rPr>
        <w:t xml:space="preserve"> in very general terms. The transmission code of the ancient Near Eastern conquest accounts dates roughly 1300–600 BC. But such general dating really does not say very much. The analysis contained in this study is helpful mainly in understanding and interpreting the composition, not in determining the narrative’s date.</w:t>
      </w:r>
    </w:p>
    <w:p w14:paraId="06A71F5E" w14:textId="77777777" w:rsidR="00814189" w:rsidRPr="00814189" w:rsidRDefault="00814189" w:rsidP="00814189">
      <w:pPr>
        <w:widowControl w:val="0"/>
        <w:autoSpaceDE w:val="0"/>
        <w:autoSpaceDN w:val="0"/>
        <w:adjustRightInd w:val="0"/>
        <w:spacing w:before="360"/>
        <w:jc w:val="center"/>
        <w:rPr>
          <w:rFonts w:cs="Times New Roman"/>
          <w:lang w:eastAsia="ja-JP"/>
        </w:rPr>
      </w:pPr>
      <w:r w:rsidRPr="00814189">
        <w:rPr>
          <w:rFonts w:cs="Times New Roman"/>
          <w:caps/>
          <w:sz w:val="28"/>
          <w:lang w:eastAsia="ja-JP"/>
        </w:rPr>
        <w:t>Conclusion</w:t>
      </w:r>
    </w:p>
    <w:p w14:paraId="546AFDDD" w14:textId="77777777" w:rsidR="00D44F92" w:rsidRPr="00C30E30" w:rsidRDefault="00814189" w:rsidP="00C30E30">
      <w:pPr>
        <w:widowControl w:val="0"/>
        <w:autoSpaceDE w:val="0"/>
        <w:autoSpaceDN w:val="0"/>
        <w:adjustRightInd w:val="0"/>
        <w:spacing w:before="180"/>
        <w:rPr>
          <w:rFonts w:cs="Times New Roman"/>
          <w:lang w:eastAsia="ja-JP"/>
        </w:rPr>
      </w:pPr>
      <w:r w:rsidRPr="00814189">
        <w:rPr>
          <w:rFonts w:cs="Times New Roman"/>
          <w:lang w:eastAsia="ja-JP"/>
        </w:rPr>
        <w:t xml:space="preserve">By making a semiotic analysis of ancient Near Eastern conquest accounts from numerous different genres, it has been possible to formulate interpretive expectations which have aided the process of interpreting the biblical text. Genres such as the Assyrian Annalistic texts, Summary inscriptions and ‘Letters to the God’, as well as the Hittite Annalistic texts, and the Egyptian </w:t>
      </w:r>
      <w:r w:rsidRPr="00814189">
        <w:rPr>
          <w:rFonts w:cs="Times New Roman"/>
          <w:i/>
          <w:lang w:eastAsia="ja-JP"/>
        </w:rPr>
        <w:t>iw.tw</w:t>
      </w:r>
      <w:r w:rsidRPr="00814189">
        <w:rPr>
          <w:rFonts w:cs="Times New Roman"/>
          <w:lang w:eastAsia="ja-JP"/>
        </w:rPr>
        <w:t xml:space="preserve"> and other military narratives have all provided insight into the writing of conquest accounts in the ancient Near East. Through the identification of some of the figurative, syntagmic and ideological aspects which make up the transmission code of these texts, it has been possible to advance the interpretation of </w:t>
      </w:r>
      <w:r w:rsidRPr="00814189">
        <w:rPr>
          <w:rFonts w:cs="Times New Roman"/>
          <w:color w:val="0000FF"/>
          <w:u w:val="single"/>
          <w:lang w:eastAsia="ja-JP"/>
        </w:rPr>
        <w:t>Joshua 9–12</w:t>
      </w:r>
      <w:r w:rsidRPr="00814189">
        <w:rPr>
          <w:rFonts w:cs="Times New Roman"/>
          <w:lang w:eastAsia="ja-JP"/>
        </w:rPr>
        <w:t>.</w:t>
      </w:r>
    </w:p>
    <w:sectPr w:rsidR="00D44F92" w:rsidRPr="00C30E30" w:rsidSect="00CA510B">
      <w:footerReference w:type="even" r:id="rId7"/>
      <w:footerReference w:type="default" r:id="rId8"/>
      <w:headerReference w:type="firs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AA8B7" w14:textId="77777777" w:rsidR="00814189" w:rsidRDefault="00814189" w:rsidP="00814189">
      <w:r>
        <w:separator/>
      </w:r>
    </w:p>
  </w:endnote>
  <w:endnote w:type="continuationSeparator" w:id="0">
    <w:p w14:paraId="591A5876" w14:textId="77777777" w:rsidR="00814189" w:rsidRDefault="00814189" w:rsidP="0081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pitch w:val="variable"/>
    <w:sig w:usb0="E0002AEF" w:usb1="C0007841" w:usb2="00000009" w:usb3="00000000" w:csb0="000001FF" w:csb1="00000000"/>
  </w:font>
  <w:font w:name="ＭＳ 明朝">
    <w:altName w:val="Ginga&gt;"/>
    <w:panose1 w:val="00000000000000000000"/>
    <w:charset w:val="80"/>
    <w:family w:val="roman"/>
    <w:notTrueType/>
    <w:pitch w:val="fixed"/>
    <w:sig w:usb0="00000001" w:usb1="08070000" w:usb2="00000010" w:usb3="00000000" w:csb0="00020000" w:csb1="00000000"/>
  </w:font>
  <w:font w:name="Arial Black">
    <w:panose1 w:val="020B0A040201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Myriad Hebrew Bold Italic">
    <w:panose1 w:val="01010101010101010101"/>
    <w:charset w:val="00"/>
    <w:family w:val="auto"/>
    <w:pitch w:val="variable"/>
    <w:sig w:usb0="00000803" w:usb1="40000000" w:usb2="00000000" w:usb3="00000000" w:csb0="00000023" w:csb1="00000000"/>
  </w:font>
  <w:font w:name="SBL Hebrew">
    <w:panose1 w:val="00000000000000000000"/>
    <w:charset w:val="4D"/>
    <w:family w:val="roman"/>
    <w:notTrueType/>
    <w:pitch w:val="default"/>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Calibri">
    <w:altName w:val="Helvetica"/>
    <w:panose1 w:val="020F0502020204030204"/>
    <w:charset w:val="00"/>
    <w:family w:val="roman"/>
    <w:notTrueType/>
    <w:pitch w:val="default"/>
  </w:font>
  <w:font w:name="Cambria">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FD3E3" w14:textId="77777777" w:rsidR="00814189" w:rsidRDefault="00814189" w:rsidP="00727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D06010" w14:textId="77777777" w:rsidR="00814189" w:rsidRDefault="0081418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63975" w14:textId="77777777" w:rsidR="00814189" w:rsidRDefault="00814189" w:rsidP="00727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10B">
      <w:rPr>
        <w:rStyle w:val="PageNumber"/>
        <w:noProof/>
      </w:rPr>
      <w:t>1</w:t>
    </w:r>
    <w:r>
      <w:rPr>
        <w:rStyle w:val="PageNumber"/>
      </w:rPr>
      <w:fldChar w:fldCharType="end"/>
    </w:r>
  </w:p>
  <w:p w14:paraId="38871159" w14:textId="77777777" w:rsidR="00814189" w:rsidRDefault="008141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9E147" w14:textId="77777777" w:rsidR="00814189" w:rsidRDefault="00814189" w:rsidP="00814189">
      <w:r>
        <w:separator/>
      </w:r>
    </w:p>
  </w:footnote>
  <w:footnote w:type="continuationSeparator" w:id="0">
    <w:p w14:paraId="7C47C2C7" w14:textId="77777777" w:rsidR="00814189" w:rsidRDefault="00814189" w:rsidP="008141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8C1B7" w14:textId="77777777" w:rsidR="00814189" w:rsidRDefault="00814189">
    <w:pPr>
      <w:pStyle w:val="Header"/>
    </w:pPr>
    <w:r>
      <w:t xml:space="preserve">Younger, K. Lawson, Jr. </w:t>
    </w:r>
    <w:r>
      <w:rPr>
        <w:i/>
        <w:iCs/>
      </w:rPr>
      <w:t>Ancient Conquest Accounts: A Study in Ancient Near Eastern and Biblical History Writing</w:t>
    </w:r>
    <w:r>
      <w:t>. Vol. 98. Journal for the Study of the Old Testament Supplement Series. Sheffield: Sheffield Academic Press, 1990.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6"/>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89"/>
    <w:rsid w:val="00350E1D"/>
    <w:rsid w:val="003717FE"/>
    <w:rsid w:val="00421AA2"/>
    <w:rsid w:val="004E4EB4"/>
    <w:rsid w:val="006F428B"/>
    <w:rsid w:val="00814189"/>
    <w:rsid w:val="00BB3331"/>
    <w:rsid w:val="00C30E30"/>
    <w:rsid w:val="00CA510B"/>
    <w:rsid w:val="00D44F92"/>
    <w:rsid w:val="00D632B9"/>
    <w:rsid w:val="00DA3B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7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FE"/>
    <w:rPr>
      <w:lang w:eastAsia="en-US"/>
    </w:rPr>
  </w:style>
  <w:style w:type="paragraph" w:styleId="Heading2">
    <w:name w:val="heading 2"/>
    <w:basedOn w:val="Normal"/>
    <w:next w:val="Normal"/>
    <w:link w:val="Heading2Char"/>
    <w:autoRedefine/>
    <w:uiPriority w:val="9"/>
    <w:unhideWhenUsed/>
    <w:qFormat/>
    <w:rsid w:val="00421AA2"/>
    <w:pPr>
      <w:keepNext/>
      <w:keepLines/>
      <w:spacing w:before="200"/>
      <w:outlineLvl w:val="1"/>
    </w:pPr>
    <w:rPr>
      <w:rFonts w:ascii="Arial Black" w:eastAsiaTheme="majorEastAsia" w:hAnsi="Arial Black"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AA2"/>
    <w:rPr>
      <w:rFonts w:ascii="Arial Black" w:eastAsiaTheme="majorEastAsia" w:hAnsi="Arial Black" w:cstheme="majorBidi"/>
      <w:bCs/>
      <w:szCs w:val="26"/>
    </w:rPr>
  </w:style>
  <w:style w:type="paragraph" w:styleId="Footer">
    <w:name w:val="footer"/>
    <w:basedOn w:val="Normal"/>
    <w:link w:val="FooterChar"/>
    <w:uiPriority w:val="99"/>
    <w:unhideWhenUsed/>
    <w:rsid w:val="00814189"/>
    <w:pPr>
      <w:tabs>
        <w:tab w:val="center" w:pos="4320"/>
        <w:tab w:val="right" w:pos="8640"/>
      </w:tabs>
    </w:pPr>
  </w:style>
  <w:style w:type="character" w:customStyle="1" w:styleId="FooterChar">
    <w:name w:val="Footer Char"/>
    <w:basedOn w:val="DefaultParagraphFont"/>
    <w:link w:val="Footer"/>
    <w:uiPriority w:val="99"/>
    <w:rsid w:val="00814189"/>
    <w:rPr>
      <w:lang w:eastAsia="en-US"/>
    </w:rPr>
  </w:style>
  <w:style w:type="character" w:styleId="PageNumber">
    <w:name w:val="page number"/>
    <w:basedOn w:val="DefaultParagraphFont"/>
    <w:uiPriority w:val="99"/>
    <w:semiHidden/>
    <w:unhideWhenUsed/>
    <w:rsid w:val="00814189"/>
  </w:style>
  <w:style w:type="paragraph" w:styleId="Header">
    <w:name w:val="header"/>
    <w:basedOn w:val="Normal"/>
    <w:link w:val="HeaderChar"/>
    <w:uiPriority w:val="99"/>
    <w:unhideWhenUsed/>
    <w:rsid w:val="00814189"/>
    <w:pPr>
      <w:tabs>
        <w:tab w:val="center" w:pos="4320"/>
        <w:tab w:val="right" w:pos="8640"/>
      </w:tabs>
    </w:pPr>
  </w:style>
  <w:style w:type="character" w:customStyle="1" w:styleId="HeaderChar">
    <w:name w:val="Header Char"/>
    <w:basedOn w:val="DefaultParagraphFont"/>
    <w:link w:val="Header"/>
    <w:uiPriority w:val="99"/>
    <w:rsid w:val="00814189"/>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FE"/>
    <w:rPr>
      <w:lang w:eastAsia="en-US"/>
    </w:rPr>
  </w:style>
  <w:style w:type="paragraph" w:styleId="Heading2">
    <w:name w:val="heading 2"/>
    <w:basedOn w:val="Normal"/>
    <w:next w:val="Normal"/>
    <w:link w:val="Heading2Char"/>
    <w:autoRedefine/>
    <w:uiPriority w:val="9"/>
    <w:unhideWhenUsed/>
    <w:qFormat/>
    <w:rsid w:val="00421AA2"/>
    <w:pPr>
      <w:keepNext/>
      <w:keepLines/>
      <w:spacing w:before="200"/>
      <w:outlineLvl w:val="1"/>
    </w:pPr>
    <w:rPr>
      <w:rFonts w:ascii="Arial Black" w:eastAsiaTheme="majorEastAsia" w:hAnsi="Arial Black"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AA2"/>
    <w:rPr>
      <w:rFonts w:ascii="Arial Black" w:eastAsiaTheme="majorEastAsia" w:hAnsi="Arial Black" w:cstheme="majorBidi"/>
      <w:bCs/>
      <w:szCs w:val="26"/>
    </w:rPr>
  </w:style>
  <w:style w:type="paragraph" w:styleId="Footer">
    <w:name w:val="footer"/>
    <w:basedOn w:val="Normal"/>
    <w:link w:val="FooterChar"/>
    <w:uiPriority w:val="99"/>
    <w:unhideWhenUsed/>
    <w:rsid w:val="00814189"/>
    <w:pPr>
      <w:tabs>
        <w:tab w:val="center" w:pos="4320"/>
        <w:tab w:val="right" w:pos="8640"/>
      </w:tabs>
    </w:pPr>
  </w:style>
  <w:style w:type="character" w:customStyle="1" w:styleId="FooterChar">
    <w:name w:val="Footer Char"/>
    <w:basedOn w:val="DefaultParagraphFont"/>
    <w:link w:val="Footer"/>
    <w:uiPriority w:val="99"/>
    <w:rsid w:val="00814189"/>
    <w:rPr>
      <w:lang w:eastAsia="en-US"/>
    </w:rPr>
  </w:style>
  <w:style w:type="character" w:styleId="PageNumber">
    <w:name w:val="page number"/>
    <w:basedOn w:val="DefaultParagraphFont"/>
    <w:uiPriority w:val="99"/>
    <w:semiHidden/>
    <w:unhideWhenUsed/>
    <w:rsid w:val="00814189"/>
  </w:style>
  <w:style w:type="paragraph" w:styleId="Header">
    <w:name w:val="header"/>
    <w:basedOn w:val="Normal"/>
    <w:link w:val="HeaderChar"/>
    <w:uiPriority w:val="99"/>
    <w:unhideWhenUsed/>
    <w:rsid w:val="00814189"/>
    <w:pPr>
      <w:tabs>
        <w:tab w:val="center" w:pos="4320"/>
        <w:tab w:val="right" w:pos="8640"/>
      </w:tabs>
    </w:pPr>
  </w:style>
  <w:style w:type="character" w:customStyle="1" w:styleId="HeaderChar">
    <w:name w:val="Header Char"/>
    <w:basedOn w:val="DefaultParagraphFont"/>
    <w:link w:val="Header"/>
    <w:uiPriority w:val="99"/>
    <w:rsid w:val="008141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7591</Words>
  <Characters>43275</Characters>
  <Application>Microsoft Macintosh Word</Application>
  <DocSecurity>0</DocSecurity>
  <Lines>360</Lines>
  <Paragraphs>101</Paragraphs>
  <ScaleCrop>false</ScaleCrop>
  <Company>Embedded Pictures</Company>
  <LinksUpToDate>false</LinksUpToDate>
  <CharactersWithSpaces>50765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Godawa</dc:creator>
  <cp:keywords/>
  <dc:description/>
  <cp:lastModifiedBy>Brian Godawa</cp:lastModifiedBy>
  <cp:revision>5</cp:revision>
  <dcterms:created xsi:type="dcterms:W3CDTF">2013-07-18T18:30:00Z</dcterms:created>
  <dcterms:modified xsi:type="dcterms:W3CDTF">2013-07-18T18:57:00Z</dcterms:modified>
</cp:coreProperties>
</file>